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410B3D" w14:textId="77777777" w:rsidR="00BC4BB5" w:rsidRPr="007A0E31" w:rsidRDefault="00BC4BB5" w:rsidP="00B94FC9">
      <w:pPr>
        <w:jc w:val="center"/>
        <w:rPr>
          <w:rFonts w:cs="Times New Roman"/>
          <w:b/>
          <w:bCs/>
          <w:szCs w:val="28"/>
          <w:lang w:val="es-CO"/>
        </w:rPr>
      </w:pPr>
      <w:r w:rsidRPr="007A0E31">
        <w:rPr>
          <w:rFonts w:cs="Times New Roman"/>
          <w:b/>
          <w:bCs/>
          <w:szCs w:val="28"/>
          <w:lang w:val="es-CO"/>
        </w:rPr>
        <w:t>REPÚBLICA DE COLOMBIA</w:t>
      </w:r>
    </w:p>
    <w:p w14:paraId="17590F49" w14:textId="77777777" w:rsidR="00BC4BB5" w:rsidRPr="007A0E31" w:rsidRDefault="00BC4BB5" w:rsidP="00B94FC9">
      <w:pPr>
        <w:jc w:val="center"/>
        <w:rPr>
          <w:rFonts w:cs="Times New Roman"/>
          <w:b/>
          <w:szCs w:val="28"/>
          <w:lang w:val="es-CO"/>
        </w:rPr>
      </w:pPr>
      <w:r w:rsidRPr="007A0E31">
        <w:rPr>
          <w:rFonts w:cs="Times New Roman"/>
          <w:b/>
          <w:szCs w:val="28"/>
          <w:lang w:val="es-CO"/>
        </w:rPr>
        <w:object w:dxaOrig="2040" w:dyaOrig="1425" w14:anchorId="0ACA7C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71.25pt" o:ole="" fillcolor="window">
            <v:imagedata r:id="rId8" o:title=""/>
          </v:shape>
          <o:OLEObject Type="Embed" ProgID="Word.Picture.8" ShapeID="_x0000_i1025" DrawAspect="Content" ObjectID="_1602401246" r:id="rId9"/>
        </w:object>
      </w:r>
    </w:p>
    <w:p w14:paraId="4EAC1B1E" w14:textId="77777777" w:rsidR="00BC4BB5" w:rsidRPr="007A0E31" w:rsidRDefault="00BC4BB5" w:rsidP="00B94FC9">
      <w:pPr>
        <w:jc w:val="center"/>
        <w:rPr>
          <w:rFonts w:cs="Times New Roman"/>
          <w:b/>
          <w:szCs w:val="28"/>
          <w:lang w:val="es-CO"/>
        </w:rPr>
      </w:pPr>
      <w:r w:rsidRPr="007A0E31">
        <w:rPr>
          <w:rFonts w:cs="Times New Roman"/>
          <w:b/>
          <w:bCs/>
          <w:szCs w:val="28"/>
          <w:lang w:val="es-CO"/>
        </w:rPr>
        <w:t>CORTE CONSTITUCIONAL</w:t>
      </w:r>
    </w:p>
    <w:p w14:paraId="3B991F32" w14:textId="77777777" w:rsidR="00BC4BB5" w:rsidRPr="007A0E31" w:rsidRDefault="00BC4BB5" w:rsidP="00B94FC9">
      <w:pPr>
        <w:jc w:val="center"/>
        <w:rPr>
          <w:rFonts w:cs="Times New Roman"/>
          <w:b/>
          <w:szCs w:val="28"/>
          <w:lang w:val="es-CO"/>
        </w:rPr>
      </w:pPr>
      <w:r w:rsidRPr="007A0E31">
        <w:rPr>
          <w:rFonts w:cs="Times New Roman"/>
          <w:b/>
          <w:szCs w:val="28"/>
          <w:lang w:val="es-CO"/>
        </w:rPr>
        <w:t>SALA ESPECIAL DE SEGUIMIENTO SENTENCIA T-025 DE 2004</w:t>
      </w:r>
    </w:p>
    <w:p w14:paraId="7C4E9E12" w14:textId="77777777" w:rsidR="00BC4BB5" w:rsidRPr="007A0E31" w:rsidRDefault="00BC4BB5" w:rsidP="00B94FC9">
      <w:pPr>
        <w:jc w:val="center"/>
        <w:rPr>
          <w:rFonts w:cs="Times New Roman"/>
          <w:b/>
          <w:szCs w:val="28"/>
          <w:lang w:val="es-CO"/>
        </w:rPr>
      </w:pPr>
    </w:p>
    <w:p w14:paraId="6F1321BB" w14:textId="649661C1" w:rsidR="00BC4BB5" w:rsidRPr="007A0E31" w:rsidRDefault="00B55A73" w:rsidP="00B94FC9">
      <w:pPr>
        <w:jc w:val="center"/>
        <w:rPr>
          <w:rFonts w:cs="Times New Roman"/>
          <w:b/>
          <w:szCs w:val="28"/>
          <w:lang w:val="es-CO"/>
        </w:rPr>
      </w:pPr>
      <w:r w:rsidRPr="007A0E31">
        <w:rPr>
          <w:rFonts w:cs="Times New Roman"/>
          <w:b/>
          <w:szCs w:val="28"/>
          <w:lang w:val="es-CO"/>
        </w:rPr>
        <w:t xml:space="preserve">AUTO </w:t>
      </w:r>
      <w:r w:rsidR="00F4673B">
        <w:rPr>
          <w:rFonts w:cs="Times New Roman"/>
          <w:b/>
          <w:szCs w:val="28"/>
          <w:lang w:val="es-CO"/>
        </w:rPr>
        <w:t>706</w:t>
      </w:r>
      <w:bookmarkStart w:id="0" w:name="_GoBack"/>
      <w:bookmarkEnd w:id="0"/>
      <w:r w:rsidR="00CF5713" w:rsidRPr="007A0E31">
        <w:rPr>
          <w:rFonts w:cs="Times New Roman"/>
          <w:b/>
          <w:szCs w:val="28"/>
          <w:lang w:val="es-CO"/>
        </w:rPr>
        <w:t xml:space="preserve"> DE 2018</w:t>
      </w:r>
    </w:p>
    <w:p w14:paraId="4C01F340" w14:textId="77777777" w:rsidR="00BC4BB5" w:rsidRPr="007A0E31" w:rsidRDefault="00BC4BB5" w:rsidP="00BC4BB5">
      <w:pPr>
        <w:rPr>
          <w:rFonts w:cs="Times New Roman"/>
          <w:b/>
          <w:szCs w:val="28"/>
          <w:lang w:val="es-CO"/>
        </w:rPr>
      </w:pPr>
    </w:p>
    <w:p w14:paraId="01DDC2E2" w14:textId="255084CD" w:rsidR="00BC4BB5" w:rsidRPr="007A0E31" w:rsidRDefault="00785D2A" w:rsidP="00FE2994">
      <w:pPr>
        <w:ind w:left="4678"/>
        <w:rPr>
          <w:rFonts w:cs="Times New Roman"/>
          <w:szCs w:val="28"/>
          <w:lang w:val="es-CO"/>
        </w:rPr>
      </w:pPr>
      <w:r w:rsidRPr="007A0E31">
        <w:rPr>
          <w:rFonts w:cs="Times New Roman"/>
          <w:b/>
          <w:szCs w:val="28"/>
          <w:lang w:val="es-CO"/>
        </w:rPr>
        <w:t>Referencia</w:t>
      </w:r>
      <w:r w:rsidR="00BC4BB5" w:rsidRPr="007A0E31">
        <w:rPr>
          <w:rFonts w:cs="Times New Roman"/>
          <w:b/>
          <w:szCs w:val="28"/>
          <w:lang w:val="es-CO"/>
        </w:rPr>
        <w:t xml:space="preserve">: </w:t>
      </w:r>
      <w:r w:rsidR="00E84A1E" w:rsidRPr="007A0E31">
        <w:rPr>
          <w:rFonts w:cs="Times New Roman"/>
          <w:szCs w:val="28"/>
          <w:lang w:val="es-CO"/>
        </w:rPr>
        <w:t>Solicitud</w:t>
      </w:r>
      <w:r w:rsidR="00574E76" w:rsidRPr="007A0E31">
        <w:rPr>
          <w:rFonts w:cs="Times New Roman"/>
          <w:szCs w:val="28"/>
          <w:lang w:val="es-CO"/>
        </w:rPr>
        <w:t xml:space="preserve">es </w:t>
      </w:r>
      <w:r w:rsidR="00B55A73" w:rsidRPr="007A0E31">
        <w:rPr>
          <w:rFonts w:cs="Times New Roman"/>
          <w:szCs w:val="28"/>
          <w:lang w:val="es-CO"/>
        </w:rPr>
        <w:t xml:space="preserve">elevadas por Autoridades Tradicionales del Resguardo Indígena de </w:t>
      </w:r>
      <w:proofErr w:type="spellStart"/>
      <w:r w:rsidR="00B55A73" w:rsidRPr="007A0E31">
        <w:rPr>
          <w:rFonts w:cs="Times New Roman"/>
          <w:szCs w:val="28"/>
          <w:lang w:val="es-CO"/>
        </w:rPr>
        <w:t>Jambaló</w:t>
      </w:r>
      <w:proofErr w:type="spellEnd"/>
      <w:r w:rsidR="00B55A73" w:rsidRPr="007A0E31">
        <w:rPr>
          <w:rFonts w:cs="Times New Roman"/>
          <w:szCs w:val="28"/>
          <w:lang w:val="es-CO"/>
        </w:rPr>
        <w:t xml:space="preserve"> (Cauca). </w:t>
      </w:r>
    </w:p>
    <w:p w14:paraId="338A0968" w14:textId="77777777" w:rsidR="00E84A1E" w:rsidRPr="007A0E31" w:rsidRDefault="00E84A1E" w:rsidP="00FE2994">
      <w:pPr>
        <w:widowControl w:val="0"/>
        <w:autoSpaceDE w:val="0"/>
        <w:autoSpaceDN w:val="0"/>
        <w:adjustRightInd w:val="0"/>
        <w:ind w:left="4678"/>
        <w:rPr>
          <w:rFonts w:cs="Times New Roman"/>
          <w:b/>
          <w:szCs w:val="28"/>
          <w:lang w:val="es-CO"/>
        </w:rPr>
      </w:pPr>
    </w:p>
    <w:p w14:paraId="5197A231" w14:textId="77777777" w:rsidR="00E84A1E" w:rsidRPr="007A0E31" w:rsidRDefault="00E84A1E" w:rsidP="00FE2994">
      <w:pPr>
        <w:widowControl w:val="0"/>
        <w:autoSpaceDE w:val="0"/>
        <w:autoSpaceDN w:val="0"/>
        <w:adjustRightInd w:val="0"/>
        <w:ind w:left="4678"/>
        <w:rPr>
          <w:rFonts w:cs="Times New Roman"/>
          <w:b/>
          <w:szCs w:val="28"/>
          <w:lang w:val="es-CO"/>
        </w:rPr>
      </w:pPr>
      <w:r w:rsidRPr="007A0E31">
        <w:rPr>
          <w:rFonts w:cs="Times New Roman"/>
          <w:b/>
          <w:szCs w:val="28"/>
          <w:lang w:val="es-CO"/>
        </w:rPr>
        <w:t>Magistrada Ponente:</w:t>
      </w:r>
    </w:p>
    <w:p w14:paraId="41360040" w14:textId="77777777" w:rsidR="00E84A1E" w:rsidRPr="007A0E31" w:rsidRDefault="00E84A1E" w:rsidP="00FE2994">
      <w:pPr>
        <w:widowControl w:val="0"/>
        <w:autoSpaceDE w:val="0"/>
        <w:autoSpaceDN w:val="0"/>
        <w:adjustRightInd w:val="0"/>
        <w:ind w:left="4678"/>
        <w:rPr>
          <w:rFonts w:cs="Times New Roman"/>
          <w:szCs w:val="28"/>
          <w:lang w:val="es-CO"/>
        </w:rPr>
      </w:pPr>
      <w:r w:rsidRPr="007A0E31">
        <w:rPr>
          <w:rFonts w:cs="Times New Roman"/>
          <w:szCs w:val="28"/>
          <w:lang w:val="es-CO"/>
        </w:rPr>
        <w:t>Dra. Gloria Stella Ortiz Delgado.</w:t>
      </w:r>
    </w:p>
    <w:p w14:paraId="4FB477E8" w14:textId="77777777" w:rsidR="00E84A1E" w:rsidRPr="007A0E31" w:rsidRDefault="00E84A1E" w:rsidP="00D177CD">
      <w:pPr>
        <w:ind w:left="4536"/>
        <w:rPr>
          <w:rFonts w:cs="Times New Roman"/>
          <w:szCs w:val="28"/>
          <w:lang w:val="es-CO"/>
        </w:rPr>
      </w:pPr>
    </w:p>
    <w:p w14:paraId="5968E542" w14:textId="77777777" w:rsidR="00C00673" w:rsidRPr="007A0E31" w:rsidRDefault="00C00673" w:rsidP="00D177CD">
      <w:pPr>
        <w:ind w:left="4536"/>
        <w:rPr>
          <w:rFonts w:cs="Times New Roman"/>
          <w:szCs w:val="28"/>
          <w:lang w:val="es-CO"/>
        </w:rPr>
      </w:pPr>
    </w:p>
    <w:p w14:paraId="282FF6FC" w14:textId="484CD8E8" w:rsidR="00E84A1E" w:rsidRPr="007A0E31" w:rsidRDefault="00E84A1E" w:rsidP="00E84A1E">
      <w:pPr>
        <w:autoSpaceDE w:val="0"/>
        <w:autoSpaceDN w:val="0"/>
        <w:rPr>
          <w:rFonts w:eastAsia="SimSun" w:cs="Times New Roman"/>
          <w:szCs w:val="28"/>
          <w:lang w:val="es-CO" w:eastAsia="x-none"/>
        </w:rPr>
      </w:pPr>
      <w:r w:rsidRPr="007A0E31">
        <w:rPr>
          <w:rFonts w:eastAsia="SimSun" w:cs="Times New Roman"/>
          <w:szCs w:val="28"/>
          <w:lang w:val="es-CO" w:eastAsia="x-none"/>
        </w:rPr>
        <w:t xml:space="preserve">Bogotá, D. C., </w:t>
      </w:r>
      <w:r w:rsidR="00B55A73" w:rsidRPr="007A0E31">
        <w:rPr>
          <w:rFonts w:eastAsia="SimSun" w:cs="Times New Roman"/>
          <w:szCs w:val="28"/>
          <w:lang w:val="es-CO" w:eastAsia="x-none"/>
        </w:rPr>
        <w:t>veintinueve</w:t>
      </w:r>
      <w:r w:rsidR="00CF5713" w:rsidRPr="007A0E31">
        <w:rPr>
          <w:rFonts w:eastAsia="SimSun" w:cs="Times New Roman"/>
          <w:szCs w:val="28"/>
          <w:lang w:val="es-CO" w:eastAsia="x-none"/>
        </w:rPr>
        <w:t xml:space="preserve"> (2</w:t>
      </w:r>
      <w:r w:rsidR="00B55A73" w:rsidRPr="007A0E31">
        <w:rPr>
          <w:rFonts w:eastAsia="SimSun" w:cs="Times New Roman"/>
          <w:szCs w:val="28"/>
          <w:lang w:val="es-CO" w:eastAsia="x-none"/>
        </w:rPr>
        <w:t>9</w:t>
      </w:r>
      <w:r w:rsidRPr="007A0E31">
        <w:rPr>
          <w:rFonts w:eastAsia="SimSun" w:cs="Times New Roman"/>
          <w:szCs w:val="28"/>
          <w:lang w:val="es-CO" w:eastAsia="x-none"/>
        </w:rPr>
        <w:t xml:space="preserve">) de </w:t>
      </w:r>
      <w:r w:rsidR="00B55A73" w:rsidRPr="007A0E31">
        <w:rPr>
          <w:rFonts w:eastAsia="SimSun" w:cs="Times New Roman"/>
          <w:szCs w:val="28"/>
          <w:lang w:val="es-CO" w:eastAsia="x-none"/>
        </w:rPr>
        <w:t>octubre</w:t>
      </w:r>
      <w:r w:rsidRPr="007A0E31">
        <w:rPr>
          <w:rFonts w:eastAsia="SimSun" w:cs="Times New Roman"/>
          <w:szCs w:val="28"/>
          <w:lang w:val="es-CO" w:eastAsia="x-none"/>
        </w:rPr>
        <w:t xml:space="preserve"> de dos mil </w:t>
      </w:r>
      <w:r w:rsidR="00CF5713" w:rsidRPr="007A0E31">
        <w:rPr>
          <w:rFonts w:eastAsia="SimSun" w:cs="Times New Roman"/>
          <w:szCs w:val="28"/>
          <w:lang w:val="es-CO" w:eastAsia="x-none"/>
        </w:rPr>
        <w:t>dieciocho (2018</w:t>
      </w:r>
      <w:r w:rsidRPr="007A0E31">
        <w:rPr>
          <w:rFonts w:eastAsia="SimSun" w:cs="Times New Roman"/>
          <w:szCs w:val="28"/>
          <w:lang w:val="es-CO" w:eastAsia="x-none"/>
        </w:rPr>
        <w:t>).</w:t>
      </w:r>
    </w:p>
    <w:p w14:paraId="5322EB80" w14:textId="77777777" w:rsidR="00E84A1E" w:rsidRPr="007A0E31" w:rsidRDefault="00E84A1E" w:rsidP="00E84A1E">
      <w:pPr>
        <w:widowControl w:val="0"/>
        <w:autoSpaceDE w:val="0"/>
        <w:autoSpaceDN w:val="0"/>
        <w:adjustRightInd w:val="0"/>
        <w:rPr>
          <w:rFonts w:cs="Times New Roman"/>
          <w:szCs w:val="28"/>
          <w:lang w:val="es-CO"/>
        </w:rPr>
      </w:pPr>
    </w:p>
    <w:p w14:paraId="11B684C8" w14:textId="081F885C" w:rsidR="00B55A73" w:rsidRPr="007A0E31" w:rsidRDefault="00B55A73" w:rsidP="00B55A73">
      <w:pPr>
        <w:rPr>
          <w:rFonts w:cs="Times New Roman"/>
          <w:color w:val="0D0D0D" w:themeColor="text1" w:themeTint="F2"/>
          <w:szCs w:val="28"/>
          <w:lang w:val="es-CO"/>
        </w:rPr>
      </w:pPr>
      <w:r w:rsidRPr="007A0E31">
        <w:rPr>
          <w:rFonts w:cs="Times New Roman"/>
          <w:color w:val="0D0D0D" w:themeColor="text1" w:themeTint="F2"/>
          <w:szCs w:val="28"/>
          <w:lang w:val="es-CO"/>
        </w:rPr>
        <w:t xml:space="preserve">La suscrita Magistrada Presidente de la Sala Especial de Seguimiento a la </w:t>
      </w:r>
      <w:r w:rsidRPr="00361FFE">
        <w:rPr>
          <w:rFonts w:cs="Times New Roman"/>
          <w:b/>
          <w:color w:val="0D0D0D" w:themeColor="text1" w:themeTint="F2"/>
          <w:szCs w:val="28"/>
          <w:lang w:val="es-CO"/>
        </w:rPr>
        <w:t>Sentencia T-025 de 2004</w:t>
      </w:r>
      <w:r w:rsidRPr="007A0E31">
        <w:rPr>
          <w:rFonts w:cs="Times New Roman"/>
          <w:color w:val="0D0D0D" w:themeColor="text1" w:themeTint="F2"/>
          <w:szCs w:val="28"/>
          <w:lang w:val="es-CO"/>
        </w:rPr>
        <w:t>, en uso de sus facultades constitucionales y legales, profiere</w:t>
      </w:r>
      <w:r w:rsidR="00424D6C" w:rsidRPr="007A0E31">
        <w:rPr>
          <w:rFonts w:cs="Times New Roman"/>
          <w:color w:val="0D0D0D" w:themeColor="text1" w:themeTint="F2"/>
          <w:szCs w:val="28"/>
          <w:lang w:val="es-CO"/>
        </w:rPr>
        <w:t xml:space="preserve"> el presente auto a partir de lo</w:t>
      </w:r>
      <w:r w:rsidRPr="007A0E31">
        <w:rPr>
          <w:rFonts w:cs="Times New Roman"/>
          <w:color w:val="0D0D0D" w:themeColor="text1" w:themeTint="F2"/>
          <w:szCs w:val="28"/>
          <w:lang w:val="es-CO"/>
        </w:rPr>
        <w:t>s siguientes:</w:t>
      </w:r>
    </w:p>
    <w:p w14:paraId="3067D9F4" w14:textId="77777777" w:rsidR="00B55A73" w:rsidRPr="007A0E31" w:rsidRDefault="00B55A73" w:rsidP="00225994">
      <w:pPr>
        <w:rPr>
          <w:rFonts w:cs="Times New Roman"/>
          <w:szCs w:val="28"/>
          <w:lang w:val="es-CO" w:eastAsia="es-ES"/>
        </w:rPr>
      </w:pPr>
    </w:p>
    <w:p w14:paraId="08304A99" w14:textId="04BB039C" w:rsidR="00B55A73" w:rsidRPr="007A0E31" w:rsidRDefault="00B55A73" w:rsidP="00424D6C">
      <w:pPr>
        <w:pStyle w:val="Ttulo1"/>
        <w:rPr>
          <w:rFonts w:cs="Times New Roman"/>
          <w:szCs w:val="28"/>
        </w:rPr>
      </w:pPr>
      <w:r w:rsidRPr="007A0E31">
        <w:rPr>
          <w:rFonts w:cs="Times New Roman"/>
          <w:szCs w:val="28"/>
        </w:rPr>
        <w:t xml:space="preserve">Antecedentes </w:t>
      </w:r>
    </w:p>
    <w:p w14:paraId="3FAA8229" w14:textId="77777777" w:rsidR="00B55A73" w:rsidRPr="007A0E31" w:rsidRDefault="00B55A73" w:rsidP="00225994">
      <w:pPr>
        <w:rPr>
          <w:rFonts w:cs="Times New Roman"/>
          <w:szCs w:val="28"/>
          <w:lang w:val="es-CO" w:eastAsia="es-ES"/>
        </w:rPr>
      </w:pPr>
    </w:p>
    <w:p w14:paraId="618ADD24" w14:textId="018672B8" w:rsidR="007F5116" w:rsidRPr="007A0E31" w:rsidRDefault="007F5116" w:rsidP="007F5116">
      <w:pPr>
        <w:numPr>
          <w:ilvl w:val="0"/>
          <w:numId w:val="15"/>
        </w:numPr>
        <w:tabs>
          <w:tab w:val="left" w:pos="284"/>
        </w:tabs>
        <w:ind w:left="0" w:firstLine="0"/>
        <w:rPr>
          <w:rFonts w:cs="Times New Roman"/>
          <w:szCs w:val="28"/>
          <w:lang w:val="es-CO"/>
        </w:rPr>
      </w:pPr>
      <w:r w:rsidRPr="007A0E31">
        <w:rPr>
          <w:rFonts w:cs="Times New Roman"/>
          <w:szCs w:val="28"/>
          <w:lang w:val="es-CO"/>
        </w:rPr>
        <w:t xml:space="preserve">La Corte Constitucional, en </w:t>
      </w:r>
      <w:r w:rsidR="009C7C2A" w:rsidRPr="007A0E31">
        <w:rPr>
          <w:rFonts w:cs="Times New Roman"/>
          <w:szCs w:val="28"/>
          <w:lang w:val="es-CO"/>
        </w:rPr>
        <w:t>Sentencia</w:t>
      </w:r>
      <w:r w:rsidRPr="007A0E31">
        <w:rPr>
          <w:rFonts w:cs="Times New Roman"/>
          <w:szCs w:val="28"/>
          <w:lang w:val="es-CO"/>
        </w:rPr>
        <w:t xml:space="preserve"> </w:t>
      </w:r>
      <w:r w:rsidRPr="007A0E31">
        <w:rPr>
          <w:rFonts w:cs="Times New Roman"/>
          <w:b/>
          <w:szCs w:val="28"/>
          <w:lang w:val="es-CO"/>
        </w:rPr>
        <w:t>T-025 de 2004</w:t>
      </w:r>
      <w:r w:rsidRPr="007A0E31">
        <w:rPr>
          <w:rFonts w:cs="Times New Roman"/>
          <w:szCs w:val="28"/>
          <w:lang w:val="es-CO"/>
        </w:rPr>
        <w:t xml:space="preserve">, declaró la existencia de un Estado de Cosas Inconstitucional (ECI) en materia de desplazamiento forzado, al constatar la vulneración masiva, sistemática y grave de los derechos fundamentales de la población desplazada en el país, producto no sólo de las causas asociadas a la violencia generalizada, sino también debido a la precaria capacidad institucional del Estado colombiano para atender a dicha población, y a la insuficiencia de los recursos asignados para este propósito. </w:t>
      </w:r>
    </w:p>
    <w:p w14:paraId="2752A537" w14:textId="77777777" w:rsidR="007F5116" w:rsidRPr="007A0E31" w:rsidRDefault="007F5116" w:rsidP="007F5116">
      <w:pPr>
        <w:tabs>
          <w:tab w:val="left" w:pos="284"/>
        </w:tabs>
        <w:rPr>
          <w:rFonts w:cs="Times New Roman"/>
          <w:szCs w:val="28"/>
          <w:lang w:val="es-CO"/>
        </w:rPr>
      </w:pPr>
    </w:p>
    <w:p w14:paraId="2899017A" w14:textId="6A32E47D" w:rsidR="007F5116" w:rsidRPr="007A0E31" w:rsidRDefault="007F5116" w:rsidP="007F5116">
      <w:pPr>
        <w:numPr>
          <w:ilvl w:val="0"/>
          <w:numId w:val="15"/>
        </w:numPr>
        <w:tabs>
          <w:tab w:val="left" w:pos="284"/>
        </w:tabs>
        <w:ind w:left="0" w:firstLine="0"/>
        <w:rPr>
          <w:rFonts w:cs="Times New Roman"/>
          <w:szCs w:val="28"/>
          <w:lang w:val="es-CO"/>
        </w:rPr>
      </w:pPr>
      <w:r w:rsidRPr="007A0E31">
        <w:rPr>
          <w:rFonts w:cs="Times New Roman"/>
          <w:szCs w:val="28"/>
          <w:lang w:val="es-CO"/>
        </w:rPr>
        <w:t xml:space="preserve">Posteriormente, considerando que de acuerdo con el artículo 27 del Decreto 2591 de 1991 </w:t>
      </w:r>
      <w:r w:rsidRPr="007A0E31">
        <w:rPr>
          <w:rFonts w:cs="Times New Roman"/>
          <w:i/>
          <w:szCs w:val="28"/>
          <w:lang w:val="es-CO"/>
        </w:rPr>
        <w:t>“el juez establecerá los demás efectos del fallo para el caso concreto y mantendrá la competencia hasta que esté completamente restablecido el derecho o eliminadas las causas de la amenaza”</w:t>
      </w:r>
      <w:r w:rsidRPr="007A0E31">
        <w:rPr>
          <w:rFonts w:cs="Times New Roman"/>
          <w:szCs w:val="28"/>
          <w:lang w:val="es-CO"/>
        </w:rPr>
        <w:t xml:space="preserve">, esta Corporación resolvió conservar la competencia para verificar el cumplimiento de sus órdenes y asegurar que las autoridades adopten las medidas necesarias para garantizar el goce efectivo de los derechos fundamentales de la población desplazada. Para estos efectos, adicionalmente, decidió conformar una Sala Especial de Seguimiento, en tanto órgano especializado de la Sala Plena para </w:t>
      </w:r>
      <w:r w:rsidRPr="007A0E31">
        <w:rPr>
          <w:rFonts w:cs="Times New Roman"/>
          <w:szCs w:val="28"/>
          <w:lang w:val="es-CO"/>
        </w:rPr>
        <w:lastRenderedPageBreak/>
        <w:t xml:space="preserve">monitorear los avances y los rezagos presentados por las </w:t>
      </w:r>
      <w:r w:rsidR="009C7C2A" w:rsidRPr="007A0E31">
        <w:rPr>
          <w:rFonts w:cs="Times New Roman"/>
          <w:szCs w:val="28"/>
          <w:lang w:val="es-CO"/>
        </w:rPr>
        <w:t>Auto</w:t>
      </w:r>
      <w:r w:rsidRPr="007A0E31">
        <w:rPr>
          <w:rFonts w:cs="Times New Roman"/>
          <w:szCs w:val="28"/>
          <w:lang w:val="es-CO"/>
        </w:rPr>
        <w:t>ridades responsables en la superación del ECI declarado en el 2004</w:t>
      </w:r>
      <w:r w:rsidRPr="007A0E31">
        <w:rPr>
          <w:rStyle w:val="Refdenotaalpie"/>
          <w:szCs w:val="28"/>
          <w:lang w:val="es-CO"/>
        </w:rPr>
        <w:footnoteReference w:id="1"/>
      </w:r>
      <w:r w:rsidRPr="007A0E31">
        <w:rPr>
          <w:rFonts w:cs="Times New Roman"/>
          <w:szCs w:val="28"/>
          <w:lang w:val="es-CO"/>
        </w:rPr>
        <w:t>.</w:t>
      </w:r>
    </w:p>
    <w:p w14:paraId="09EDC3D6" w14:textId="77777777" w:rsidR="00650E64" w:rsidRPr="00361FFE" w:rsidRDefault="00650E64" w:rsidP="00361FFE">
      <w:pPr>
        <w:rPr>
          <w:rFonts w:cs="Times New Roman"/>
          <w:szCs w:val="28"/>
          <w:lang w:val="es-CO"/>
        </w:rPr>
      </w:pPr>
    </w:p>
    <w:p w14:paraId="017E8DFC" w14:textId="772E1C12" w:rsidR="00637F74" w:rsidRPr="007A0E31" w:rsidRDefault="00637F74" w:rsidP="00637F74">
      <w:pPr>
        <w:numPr>
          <w:ilvl w:val="0"/>
          <w:numId w:val="15"/>
        </w:numPr>
        <w:tabs>
          <w:tab w:val="left" w:pos="284"/>
        </w:tabs>
        <w:ind w:left="0" w:firstLine="0"/>
        <w:rPr>
          <w:rFonts w:cs="Times New Roman"/>
          <w:szCs w:val="28"/>
          <w:lang w:val="es-CO"/>
        </w:rPr>
      </w:pPr>
      <w:r w:rsidRPr="007A0E31">
        <w:rPr>
          <w:rFonts w:cs="Times New Roman"/>
          <w:szCs w:val="28"/>
          <w:lang w:val="es-CO"/>
        </w:rPr>
        <w:t xml:space="preserve">En </w:t>
      </w:r>
      <w:r w:rsidR="009C7C2A" w:rsidRPr="007A0E31">
        <w:rPr>
          <w:rFonts w:cs="Times New Roman"/>
          <w:b/>
          <w:szCs w:val="28"/>
          <w:lang w:val="es-CO"/>
        </w:rPr>
        <w:t>Sentencia</w:t>
      </w:r>
      <w:r w:rsidRPr="007A0E31">
        <w:rPr>
          <w:rFonts w:cs="Times New Roman"/>
          <w:b/>
          <w:szCs w:val="28"/>
          <w:lang w:val="es-CO"/>
        </w:rPr>
        <w:t xml:space="preserve"> T-025 de 2004</w:t>
      </w:r>
      <w:r w:rsidRPr="007A0E31">
        <w:rPr>
          <w:rFonts w:cs="Times New Roman"/>
          <w:szCs w:val="28"/>
          <w:lang w:val="es-CO"/>
        </w:rPr>
        <w:t xml:space="preserve">, la Corte Constitucional señaló que no habían sido </w:t>
      </w:r>
      <w:r w:rsidRPr="007A0E31">
        <w:rPr>
          <w:rFonts w:cs="Times New Roman"/>
          <w:i/>
          <w:szCs w:val="28"/>
          <w:lang w:val="es-CO"/>
        </w:rPr>
        <w:t>“reglamentadas las políticas que faciliten el acceso a la oferta institucional a los grupos desplazados en situación de mayor debilidad, tales como las mujeres cabeza de familia, los niños, o los grupos étnicos”</w:t>
      </w:r>
      <w:r w:rsidRPr="007A0E31">
        <w:rPr>
          <w:rFonts w:cs="Times New Roman"/>
          <w:szCs w:val="28"/>
          <w:lang w:val="es-CO"/>
        </w:rPr>
        <w:t xml:space="preserve">. En tal virtud, mediante </w:t>
      </w:r>
      <w:r w:rsidR="009C7C2A" w:rsidRPr="007A0E31">
        <w:rPr>
          <w:rFonts w:cs="Times New Roman"/>
          <w:b/>
          <w:szCs w:val="28"/>
          <w:lang w:val="es-CO"/>
        </w:rPr>
        <w:t>Auto</w:t>
      </w:r>
      <w:r w:rsidRPr="007A0E31">
        <w:rPr>
          <w:rFonts w:cs="Times New Roman"/>
          <w:b/>
          <w:szCs w:val="28"/>
          <w:lang w:val="es-CO"/>
        </w:rPr>
        <w:t xml:space="preserve"> 218 de 2006</w:t>
      </w:r>
      <w:r w:rsidRPr="007A0E31">
        <w:rPr>
          <w:rFonts w:cs="Times New Roman"/>
          <w:szCs w:val="28"/>
          <w:lang w:val="es-CO"/>
        </w:rPr>
        <w:t xml:space="preserve"> esta Corporación resaltó la necesidad de diseñar e implementar una perspectiva diferencial integral y transversal a toda la política pública de prevención, protección y atención a la población desplazada, que reconozca que este fenómeno afecta de forma distinta y agravada a la población afrodescendiente e indígena desplazada o en riesgo de estarlo, especialmente al considerar que se tratan de sujetos de especial protección constitucional. </w:t>
      </w:r>
    </w:p>
    <w:p w14:paraId="6F19BA96" w14:textId="77777777" w:rsidR="00637F74" w:rsidRPr="007A0E31" w:rsidRDefault="00637F74" w:rsidP="00637F74">
      <w:pPr>
        <w:tabs>
          <w:tab w:val="left" w:pos="284"/>
        </w:tabs>
        <w:rPr>
          <w:rFonts w:cs="Times New Roman"/>
          <w:szCs w:val="28"/>
          <w:lang w:val="es-CO"/>
        </w:rPr>
      </w:pPr>
    </w:p>
    <w:p w14:paraId="4917F59E" w14:textId="77777777" w:rsidR="00650E64" w:rsidRPr="007A0E31" w:rsidRDefault="00637F74" w:rsidP="007D7CE4">
      <w:pPr>
        <w:numPr>
          <w:ilvl w:val="0"/>
          <w:numId w:val="15"/>
        </w:numPr>
        <w:tabs>
          <w:tab w:val="left" w:pos="284"/>
        </w:tabs>
        <w:ind w:left="0" w:firstLine="0"/>
        <w:rPr>
          <w:rFonts w:cs="Times New Roman"/>
          <w:szCs w:val="28"/>
          <w:lang w:val="es-CO"/>
        </w:rPr>
      </w:pPr>
      <w:r w:rsidRPr="007A0E31">
        <w:rPr>
          <w:rFonts w:cs="Times New Roman"/>
          <w:szCs w:val="28"/>
          <w:lang w:val="es-CO"/>
        </w:rPr>
        <w:t xml:space="preserve">De acuerdo con lo anterior, </w:t>
      </w:r>
      <w:r w:rsidR="006F260B" w:rsidRPr="007A0E31">
        <w:rPr>
          <w:rFonts w:cs="Times New Roman"/>
          <w:szCs w:val="28"/>
          <w:lang w:val="es-CO"/>
        </w:rPr>
        <w:t xml:space="preserve">la Corte evidenció la grave afectación de los derechos individuales y colectivos de los pueblos indígenas, luego de advertir la gravísima situación de riesgo que comprometía su pervivencia física y cultural, en razón del desplazamiento. En consecuencia, mediante </w:t>
      </w:r>
      <w:r w:rsidR="006F260B" w:rsidRPr="007A0E31">
        <w:rPr>
          <w:rFonts w:cs="Times New Roman"/>
          <w:b/>
          <w:szCs w:val="28"/>
          <w:lang w:val="es-CO"/>
        </w:rPr>
        <w:t>auto 004 de 2009</w:t>
      </w:r>
      <w:r w:rsidR="006F260B" w:rsidRPr="007A0E31">
        <w:rPr>
          <w:rFonts w:cs="Times New Roman"/>
          <w:szCs w:val="28"/>
          <w:lang w:val="es-CO"/>
        </w:rPr>
        <w:t>, este alto Tribunal, consciente de que los pueblos indígenas son uno de los grupos más vulnerables frente a dicha problemática, y que, en tal virtud, son merecedores de protección constitucional reforzada, ordenó la implementación de: (i) un programa de garantía de los derechos de los pueblos indígenas afectados por el desplazamiento, y de (ii) planes de salvaguarda étnica ante el conflicto y el desplazamiento, para cada uno de los pu</w:t>
      </w:r>
      <w:r w:rsidR="00592E50" w:rsidRPr="007A0E31">
        <w:rPr>
          <w:rFonts w:cs="Times New Roman"/>
          <w:szCs w:val="28"/>
          <w:lang w:val="es-CO"/>
        </w:rPr>
        <w:t>eblos identificados en el auto,</w:t>
      </w:r>
      <w:r w:rsidR="006F260B" w:rsidRPr="007A0E31">
        <w:rPr>
          <w:rFonts w:cs="Times New Roman"/>
          <w:szCs w:val="28"/>
          <w:lang w:val="es-CO"/>
        </w:rPr>
        <w:t xml:space="preserve"> así como (iii) la adopción de determinaciones encaminadas a evitar la impunidad de las conductas delictivas de las cuales han sido víctimas los pueblos indígenas, entre otras.</w:t>
      </w:r>
    </w:p>
    <w:p w14:paraId="1962CD50" w14:textId="77777777" w:rsidR="00E3371A" w:rsidRPr="007A0E31" w:rsidRDefault="00E3371A" w:rsidP="00E3371A">
      <w:pPr>
        <w:rPr>
          <w:rFonts w:cs="Times New Roman"/>
          <w:szCs w:val="28"/>
          <w:lang w:val="es-CO" w:eastAsia="es-ES"/>
        </w:rPr>
      </w:pPr>
    </w:p>
    <w:p w14:paraId="7E6B3CB7" w14:textId="0140AA2A" w:rsidR="002B37BF" w:rsidRPr="007A0E31" w:rsidRDefault="00785D2A" w:rsidP="00424D6C">
      <w:pPr>
        <w:pStyle w:val="Ttulo2"/>
        <w:rPr>
          <w:rFonts w:cs="Times New Roman"/>
        </w:rPr>
      </w:pPr>
      <w:r w:rsidRPr="007A0E31">
        <w:rPr>
          <w:rFonts w:cs="Times New Roman"/>
        </w:rPr>
        <w:t>S</w:t>
      </w:r>
      <w:r w:rsidR="00A963E4" w:rsidRPr="007A0E31">
        <w:rPr>
          <w:rFonts w:cs="Times New Roman"/>
        </w:rPr>
        <w:t>olicitud</w:t>
      </w:r>
      <w:r w:rsidR="002836AC" w:rsidRPr="007A0E31">
        <w:rPr>
          <w:rFonts w:cs="Times New Roman"/>
        </w:rPr>
        <w:t>es</w:t>
      </w:r>
      <w:r w:rsidR="00A963E4" w:rsidRPr="007A0E31">
        <w:rPr>
          <w:rFonts w:cs="Times New Roman"/>
        </w:rPr>
        <w:t xml:space="preserve"> </w:t>
      </w:r>
      <w:r w:rsidR="0007207C" w:rsidRPr="007A0E31">
        <w:rPr>
          <w:rFonts w:cs="Times New Roman"/>
        </w:rPr>
        <w:t>elevada</w:t>
      </w:r>
      <w:r w:rsidR="002836AC" w:rsidRPr="007A0E31">
        <w:rPr>
          <w:rFonts w:cs="Times New Roman"/>
        </w:rPr>
        <w:t>s</w:t>
      </w:r>
      <w:r w:rsidR="0007207C" w:rsidRPr="007A0E31">
        <w:rPr>
          <w:rFonts w:cs="Times New Roman"/>
        </w:rPr>
        <w:t xml:space="preserve"> </w:t>
      </w:r>
      <w:r w:rsidR="00424D6C" w:rsidRPr="007A0E31">
        <w:rPr>
          <w:rFonts w:cs="Times New Roman"/>
        </w:rPr>
        <w:t>a la Sala Especial</w:t>
      </w:r>
    </w:p>
    <w:p w14:paraId="730543B2" w14:textId="77777777" w:rsidR="002836AC" w:rsidRPr="007A0E31" w:rsidRDefault="002836AC" w:rsidP="002836AC">
      <w:pPr>
        <w:pStyle w:val="Prrafodelista"/>
        <w:rPr>
          <w:rFonts w:cs="Times New Roman"/>
          <w:szCs w:val="28"/>
          <w:lang w:val="es-CO"/>
        </w:rPr>
      </w:pPr>
    </w:p>
    <w:p w14:paraId="445000F9" w14:textId="1A5BDB02" w:rsidR="005F7BA8" w:rsidRPr="007A0E31" w:rsidRDefault="002836AC" w:rsidP="00400C77">
      <w:pPr>
        <w:numPr>
          <w:ilvl w:val="0"/>
          <w:numId w:val="15"/>
        </w:numPr>
        <w:tabs>
          <w:tab w:val="left" w:pos="284"/>
        </w:tabs>
        <w:ind w:left="0" w:firstLine="0"/>
        <w:rPr>
          <w:rFonts w:cs="Times New Roman"/>
          <w:szCs w:val="28"/>
          <w:lang w:val="es-CO"/>
        </w:rPr>
      </w:pPr>
      <w:r w:rsidRPr="007A0E31">
        <w:rPr>
          <w:rFonts w:cs="Times New Roman"/>
          <w:szCs w:val="28"/>
          <w:lang w:val="es-CO"/>
        </w:rPr>
        <w:t xml:space="preserve">Recientemente, </w:t>
      </w:r>
      <w:r w:rsidR="00400C77" w:rsidRPr="007A0E31">
        <w:rPr>
          <w:rFonts w:cs="Times New Roman"/>
          <w:szCs w:val="28"/>
          <w:lang w:val="es-CO"/>
        </w:rPr>
        <w:t xml:space="preserve">Autoridades Tradicionales del Resguardo Indígena de </w:t>
      </w:r>
      <w:proofErr w:type="spellStart"/>
      <w:r w:rsidR="00400C77" w:rsidRPr="007A0E31">
        <w:rPr>
          <w:rFonts w:cs="Times New Roman"/>
          <w:szCs w:val="28"/>
          <w:lang w:val="es-CO"/>
        </w:rPr>
        <w:t>Jambaló</w:t>
      </w:r>
      <w:proofErr w:type="spellEnd"/>
      <w:r w:rsidR="00400C77" w:rsidRPr="007A0E31">
        <w:rPr>
          <w:rFonts w:cs="Times New Roman"/>
          <w:szCs w:val="28"/>
          <w:lang w:val="es-CO"/>
        </w:rPr>
        <w:t xml:space="preserve"> (Cauca) mediante escrito del 23 de octubre del año en curso, solicitaron a esta Sala Especial de Seguimiento </w:t>
      </w:r>
      <w:r w:rsidR="00CD57AC" w:rsidRPr="007A0E31">
        <w:rPr>
          <w:rFonts w:cs="Times New Roman"/>
          <w:szCs w:val="28"/>
          <w:lang w:val="es-CO"/>
        </w:rPr>
        <w:t xml:space="preserve">verificar el cumplimiento: (i) </w:t>
      </w:r>
      <w:r w:rsidR="00400C77" w:rsidRPr="007A0E31">
        <w:rPr>
          <w:rFonts w:cs="Times New Roman"/>
          <w:szCs w:val="28"/>
          <w:lang w:val="es-CO"/>
        </w:rPr>
        <w:t xml:space="preserve">del </w:t>
      </w:r>
      <w:r w:rsidR="00400C77" w:rsidRPr="007A0E31">
        <w:rPr>
          <w:rFonts w:cs="Times New Roman"/>
          <w:b/>
          <w:szCs w:val="28"/>
          <w:lang w:val="es-CO"/>
        </w:rPr>
        <w:t>Auto 004 de 2009</w:t>
      </w:r>
      <w:r w:rsidR="00400C77" w:rsidRPr="007A0E31">
        <w:rPr>
          <w:rFonts w:cs="Times New Roman"/>
          <w:szCs w:val="28"/>
          <w:lang w:val="es-CO"/>
        </w:rPr>
        <w:t xml:space="preserve"> (en lo relacionado con los Planes de Salvaguarda Étnica Nasa y </w:t>
      </w:r>
      <w:proofErr w:type="spellStart"/>
      <w:r w:rsidR="00400C77" w:rsidRPr="007A0E31">
        <w:rPr>
          <w:rFonts w:cs="Times New Roman"/>
          <w:szCs w:val="28"/>
          <w:lang w:val="es-CO"/>
        </w:rPr>
        <w:t>Guambiano</w:t>
      </w:r>
      <w:proofErr w:type="spellEnd"/>
      <w:r w:rsidR="00CD57AC" w:rsidRPr="007A0E31">
        <w:rPr>
          <w:rFonts w:cs="Times New Roman"/>
          <w:szCs w:val="28"/>
          <w:lang w:val="es-CO"/>
        </w:rPr>
        <w:t xml:space="preserve">); (ii) </w:t>
      </w:r>
      <w:r w:rsidR="00400C77" w:rsidRPr="007A0E31">
        <w:rPr>
          <w:rFonts w:cs="Times New Roman"/>
          <w:szCs w:val="28"/>
          <w:lang w:val="es-CO"/>
        </w:rPr>
        <w:t xml:space="preserve">las medidas cautelares no. 255 de 2011 dictadas por la Comisión Interamericana de Derechos </w:t>
      </w:r>
      <w:r w:rsidR="00CD57AC" w:rsidRPr="007A0E31">
        <w:rPr>
          <w:rFonts w:cs="Times New Roman"/>
          <w:szCs w:val="28"/>
          <w:lang w:val="es-CO"/>
        </w:rPr>
        <w:t>Humanos; (iii)</w:t>
      </w:r>
      <w:r w:rsidR="00400C77" w:rsidRPr="007A0E31">
        <w:rPr>
          <w:rFonts w:cs="Times New Roman"/>
          <w:szCs w:val="28"/>
          <w:lang w:val="es-CO"/>
        </w:rPr>
        <w:t xml:space="preserve"> la </w:t>
      </w:r>
      <w:r w:rsidR="00400C77" w:rsidRPr="007A0E31">
        <w:rPr>
          <w:rFonts w:cs="Times New Roman"/>
          <w:b/>
          <w:szCs w:val="28"/>
          <w:lang w:val="es-CO"/>
        </w:rPr>
        <w:t>Sentencia T-030 de 2016</w:t>
      </w:r>
      <w:r w:rsidR="00CD57AC" w:rsidRPr="007A0E31">
        <w:rPr>
          <w:rFonts w:cs="Times New Roman"/>
          <w:b/>
          <w:szCs w:val="28"/>
          <w:lang w:val="es-CO"/>
        </w:rPr>
        <w:t>;</w:t>
      </w:r>
      <w:r w:rsidR="00400C77" w:rsidRPr="007A0E31">
        <w:rPr>
          <w:rFonts w:cs="Times New Roman"/>
          <w:szCs w:val="28"/>
          <w:lang w:val="es-CO"/>
        </w:rPr>
        <w:t xml:space="preserve"> y </w:t>
      </w:r>
      <w:r w:rsidR="00CD57AC" w:rsidRPr="007A0E31">
        <w:rPr>
          <w:rFonts w:cs="Times New Roman"/>
          <w:szCs w:val="28"/>
          <w:lang w:val="es-CO"/>
        </w:rPr>
        <w:t xml:space="preserve">(iv) </w:t>
      </w:r>
      <w:r w:rsidR="00400C77" w:rsidRPr="007A0E31">
        <w:rPr>
          <w:rFonts w:cs="Times New Roman"/>
          <w:szCs w:val="28"/>
          <w:lang w:val="es-CO"/>
        </w:rPr>
        <w:t xml:space="preserve">los planes de reparación colectiva que se adelantan en favor de los pueblos Nasa y </w:t>
      </w:r>
      <w:proofErr w:type="spellStart"/>
      <w:r w:rsidR="00400C77" w:rsidRPr="007A0E31">
        <w:rPr>
          <w:rFonts w:cs="Times New Roman"/>
          <w:szCs w:val="28"/>
          <w:lang w:val="es-CO"/>
        </w:rPr>
        <w:t>Misak</w:t>
      </w:r>
      <w:proofErr w:type="spellEnd"/>
      <w:r w:rsidR="00400C77" w:rsidRPr="007A0E31">
        <w:rPr>
          <w:rFonts w:cs="Times New Roman"/>
          <w:szCs w:val="28"/>
          <w:lang w:val="es-CO"/>
        </w:rPr>
        <w:t xml:space="preserve">. </w:t>
      </w:r>
    </w:p>
    <w:p w14:paraId="3C2CB941" w14:textId="77777777" w:rsidR="0090065A" w:rsidRPr="007A0E31" w:rsidRDefault="0090065A" w:rsidP="0090065A">
      <w:pPr>
        <w:tabs>
          <w:tab w:val="left" w:pos="284"/>
        </w:tabs>
        <w:rPr>
          <w:rFonts w:cs="Times New Roman"/>
          <w:szCs w:val="28"/>
          <w:lang w:val="es-CO"/>
        </w:rPr>
      </w:pPr>
    </w:p>
    <w:p w14:paraId="0DBD8F3C" w14:textId="6F5724BF" w:rsidR="0090065A" w:rsidRPr="007A0E31" w:rsidRDefault="0090065A" w:rsidP="00400C77">
      <w:pPr>
        <w:numPr>
          <w:ilvl w:val="0"/>
          <w:numId w:val="15"/>
        </w:numPr>
        <w:tabs>
          <w:tab w:val="left" w:pos="284"/>
        </w:tabs>
        <w:ind w:left="0" w:firstLine="0"/>
        <w:rPr>
          <w:rFonts w:cs="Times New Roman"/>
          <w:szCs w:val="28"/>
          <w:lang w:val="es-CO"/>
        </w:rPr>
      </w:pPr>
      <w:r w:rsidRPr="007A0E31">
        <w:rPr>
          <w:rFonts w:cs="Times New Roman"/>
          <w:szCs w:val="28"/>
          <w:lang w:val="es-CO"/>
        </w:rPr>
        <w:t xml:space="preserve">Para elevar estas solicitudes las Autoridades afirman que </w:t>
      </w:r>
      <w:r w:rsidRPr="007A0E31">
        <w:rPr>
          <w:rFonts w:cs="Times New Roman"/>
          <w:i/>
          <w:szCs w:val="28"/>
          <w:lang w:val="es-CO"/>
        </w:rPr>
        <w:t xml:space="preserve">“no se [ha] puesto en ejecución el Plan de Salvaguarda de los pueblos Nasa ni </w:t>
      </w:r>
      <w:proofErr w:type="spellStart"/>
      <w:r w:rsidRPr="007A0E31">
        <w:rPr>
          <w:rFonts w:cs="Times New Roman"/>
          <w:i/>
          <w:szCs w:val="28"/>
          <w:lang w:val="es-CO"/>
        </w:rPr>
        <w:t>Misak</w:t>
      </w:r>
      <w:proofErr w:type="spellEnd"/>
      <w:r w:rsidRPr="007A0E31">
        <w:rPr>
          <w:rFonts w:cs="Times New Roman"/>
          <w:i/>
          <w:szCs w:val="28"/>
          <w:lang w:val="es-CO"/>
        </w:rPr>
        <w:t xml:space="preserve"> dentro del resguardo indígena de </w:t>
      </w:r>
      <w:proofErr w:type="spellStart"/>
      <w:r w:rsidRPr="007A0E31">
        <w:rPr>
          <w:rFonts w:cs="Times New Roman"/>
          <w:i/>
          <w:szCs w:val="28"/>
          <w:lang w:val="es-CO"/>
        </w:rPr>
        <w:t>Jambaló</w:t>
      </w:r>
      <w:proofErr w:type="spellEnd"/>
      <w:r w:rsidRPr="007A0E31">
        <w:rPr>
          <w:rFonts w:cs="Times New Roman"/>
          <w:i/>
          <w:szCs w:val="28"/>
          <w:lang w:val="es-CO"/>
        </w:rPr>
        <w:t>, ni se ha dado ejecución a las órdenes dadas en la medida Cautelar MC-255 de 2011, ni se ha dado cumplimiento a ninguna de las órdenes establecidas en la sentencia T-030 de 2016”</w:t>
      </w:r>
      <w:r w:rsidRPr="007A0E31">
        <w:rPr>
          <w:rStyle w:val="Refdenotaalpie"/>
          <w:szCs w:val="28"/>
          <w:lang w:val="es-CO"/>
        </w:rPr>
        <w:footnoteReference w:id="2"/>
      </w:r>
      <w:r w:rsidRPr="007A0E31">
        <w:rPr>
          <w:rFonts w:cs="Times New Roman"/>
          <w:szCs w:val="28"/>
          <w:lang w:val="es-CO"/>
        </w:rPr>
        <w:t xml:space="preserve">. </w:t>
      </w:r>
    </w:p>
    <w:p w14:paraId="2B2360AC" w14:textId="77777777" w:rsidR="00400C77" w:rsidRPr="007A0E31" w:rsidRDefault="00400C77" w:rsidP="00400C77">
      <w:pPr>
        <w:tabs>
          <w:tab w:val="left" w:pos="284"/>
        </w:tabs>
        <w:rPr>
          <w:rFonts w:cs="Times New Roman"/>
          <w:szCs w:val="28"/>
          <w:lang w:val="es-CO"/>
        </w:rPr>
      </w:pPr>
    </w:p>
    <w:p w14:paraId="78D549A8" w14:textId="742A16E7" w:rsidR="0090065A" w:rsidRPr="007A0E31" w:rsidRDefault="0090065A" w:rsidP="00424D6C">
      <w:pPr>
        <w:pStyle w:val="Ttulo2"/>
        <w:rPr>
          <w:rFonts w:cs="Times New Roman"/>
        </w:rPr>
      </w:pPr>
      <w:r w:rsidRPr="007A0E31">
        <w:rPr>
          <w:rFonts w:cs="Times New Roman"/>
        </w:rPr>
        <w:t>Auto 589 de 2018</w:t>
      </w:r>
    </w:p>
    <w:p w14:paraId="2977A6EC" w14:textId="77777777" w:rsidR="0090065A" w:rsidRPr="007A0E31" w:rsidRDefault="0090065A" w:rsidP="00400C77">
      <w:pPr>
        <w:tabs>
          <w:tab w:val="left" w:pos="284"/>
        </w:tabs>
        <w:rPr>
          <w:rFonts w:cs="Times New Roman"/>
          <w:szCs w:val="28"/>
          <w:lang w:val="es-CO"/>
        </w:rPr>
      </w:pPr>
    </w:p>
    <w:p w14:paraId="3EE60242" w14:textId="391D7310" w:rsidR="000C763A" w:rsidRPr="007A0E31" w:rsidRDefault="00257DD8" w:rsidP="00B66CD6">
      <w:pPr>
        <w:numPr>
          <w:ilvl w:val="0"/>
          <w:numId w:val="15"/>
        </w:numPr>
        <w:tabs>
          <w:tab w:val="left" w:pos="284"/>
        </w:tabs>
        <w:ind w:left="0" w:firstLine="0"/>
        <w:rPr>
          <w:rFonts w:cs="Times New Roman"/>
          <w:szCs w:val="28"/>
          <w:lang w:val="es-CO"/>
        </w:rPr>
      </w:pPr>
      <w:r w:rsidRPr="007A0E31">
        <w:rPr>
          <w:rFonts w:cs="Times New Roman"/>
          <w:szCs w:val="28"/>
          <w:lang w:val="es-CO"/>
        </w:rPr>
        <w:t>Recientemente</w:t>
      </w:r>
      <w:r w:rsidR="00CD57AC" w:rsidRPr="007A0E31">
        <w:rPr>
          <w:rFonts w:cs="Times New Roman"/>
          <w:szCs w:val="28"/>
          <w:lang w:val="es-CO"/>
        </w:rPr>
        <w:t>, la Sala Primera de Revisión de la Corte Constitucional resolvió una petici</w:t>
      </w:r>
      <w:r w:rsidRPr="007A0E31">
        <w:rPr>
          <w:rFonts w:cs="Times New Roman"/>
          <w:szCs w:val="28"/>
          <w:lang w:val="es-CO"/>
        </w:rPr>
        <w:t xml:space="preserve">ón elevada el 24 de agosto de 2018 por parte de un grupo de Gobernadores del Resguardo Indígena de </w:t>
      </w:r>
      <w:proofErr w:type="spellStart"/>
      <w:r w:rsidRPr="007A0E31">
        <w:rPr>
          <w:rFonts w:cs="Times New Roman"/>
          <w:szCs w:val="28"/>
          <w:lang w:val="es-CO"/>
        </w:rPr>
        <w:t>Jambaló</w:t>
      </w:r>
      <w:proofErr w:type="spellEnd"/>
      <w:r w:rsidRPr="007A0E31">
        <w:rPr>
          <w:rFonts w:cs="Times New Roman"/>
          <w:szCs w:val="28"/>
          <w:lang w:val="es-CO"/>
        </w:rPr>
        <w:t xml:space="preserve"> (Cauca). Puntualmente, en dicha oportunidad se solicitó a esta Corporación: </w:t>
      </w:r>
      <w:r w:rsidRPr="007A0E31">
        <w:rPr>
          <w:rFonts w:cs="Times New Roman"/>
          <w:i/>
          <w:szCs w:val="28"/>
          <w:lang w:val="es-CO"/>
        </w:rPr>
        <w:t>“</w:t>
      </w:r>
      <w:r w:rsidRPr="007A0E31">
        <w:rPr>
          <w:rFonts w:cs="Times New Roman"/>
          <w:i/>
          <w:szCs w:val="28"/>
        </w:rPr>
        <w:t>verificar el cumplimiento de la sentencia T-030 de 2016, así como de las medidas cautelares No. 255 de 2011 de la Comisión Interamericana de Derechos Humanos. De igual modo, verificar el cumplimiento del auto 004 de 2009 de la Sala Segunda de Revisión de esta Corte”</w:t>
      </w:r>
      <w:r w:rsidRPr="007A0E31">
        <w:rPr>
          <w:rFonts w:cs="Times New Roman"/>
          <w:szCs w:val="28"/>
        </w:rPr>
        <w:t xml:space="preserve">. </w:t>
      </w:r>
    </w:p>
    <w:p w14:paraId="14A8B682" w14:textId="77777777" w:rsidR="00257DD8" w:rsidRPr="007A0E31" w:rsidRDefault="00257DD8" w:rsidP="00257DD8">
      <w:pPr>
        <w:tabs>
          <w:tab w:val="left" w:pos="284"/>
        </w:tabs>
        <w:rPr>
          <w:rFonts w:cs="Times New Roman"/>
          <w:szCs w:val="28"/>
          <w:lang w:val="es-CO"/>
        </w:rPr>
      </w:pPr>
    </w:p>
    <w:p w14:paraId="39D3FD49" w14:textId="1199CED9" w:rsidR="00257DD8" w:rsidRPr="007A0E31" w:rsidRDefault="00257DD8" w:rsidP="00B66CD6">
      <w:pPr>
        <w:numPr>
          <w:ilvl w:val="0"/>
          <w:numId w:val="15"/>
        </w:numPr>
        <w:tabs>
          <w:tab w:val="left" w:pos="284"/>
        </w:tabs>
        <w:ind w:left="0" w:firstLine="0"/>
        <w:rPr>
          <w:rFonts w:cs="Times New Roman"/>
          <w:szCs w:val="28"/>
          <w:lang w:val="es-CO"/>
        </w:rPr>
      </w:pPr>
      <w:r w:rsidRPr="007A0E31">
        <w:rPr>
          <w:rFonts w:cs="Times New Roman"/>
          <w:szCs w:val="28"/>
          <w:lang w:val="es-CO"/>
        </w:rPr>
        <w:t xml:space="preserve">Esta petición fue resuelta mediante </w:t>
      </w:r>
      <w:r w:rsidRPr="007A0E31">
        <w:rPr>
          <w:rFonts w:cs="Times New Roman"/>
          <w:b/>
          <w:szCs w:val="28"/>
          <w:lang w:val="es-CO"/>
        </w:rPr>
        <w:t>Auto 589 de 2018</w:t>
      </w:r>
      <w:r w:rsidR="00921310" w:rsidRPr="007A0E31">
        <w:rPr>
          <w:rStyle w:val="Refdenotaalpie"/>
          <w:b/>
          <w:szCs w:val="28"/>
          <w:lang w:val="es-CO"/>
        </w:rPr>
        <w:footnoteReference w:id="3"/>
      </w:r>
      <w:r w:rsidRPr="007A0E31">
        <w:rPr>
          <w:rFonts w:cs="Times New Roman"/>
          <w:szCs w:val="28"/>
          <w:lang w:val="es-CO"/>
        </w:rPr>
        <w:t xml:space="preserve">. Con relación a las solicitudes de seguimiento a la </w:t>
      </w:r>
      <w:r w:rsidRPr="007A0E31">
        <w:rPr>
          <w:rFonts w:cs="Times New Roman"/>
          <w:b/>
          <w:szCs w:val="28"/>
        </w:rPr>
        <w:t>Sentencia T-030 de 2016</w:t>
      </w:r>
      <w:r w:rsidRPr="007A0E31">
        <w:rPr>
          <w:rFonts w:cs="Times New Roman"/>
          <w:szCs w:val="28"/>
        </w:rPr>
        <w:t xml:space="preserve">, así como a las medidas cautelares de la Comisión Interamericana de Derechos Humanos, la Sala Primera de Revisión consideró que no se cumplió con la carga argumentativa para que la Corte </w:t>
      </w:r>
      <w:r w:rsidR="00350034" w:rsidRPr="007A0E31">
        <w:rPr>
          <w:rFonts w:cs="Times New Roman"/>
          <w:szCs w:val="28"/>
        </w:rPr>
        <w:t>Constitucional asumiera directamente el cumplimiento de sus fallos</w:t>
      </w:r>
      <w:r w:rsidR="00D803F9" w:rsidRPr="007A0E31">
        <w:rPr>
          <w:rStyle w:val="Refdenotaalpie"/>
          <w:szCs w:val="28"/>
        </w:rPr>
        <w:footnoteReference w:id="4"/>
      </w:r>
      <w:r w:rsidR="00350034" w:rsidRPr="007A0E31">
        <w:rPr>
          <w:rFonts w:cs="Times New Roman"/>
          <w:szCs w:val="28"/>
        </w:rPr>
        <w:t xml:space="preserve">. </w:t>
      </w:r>
    </w:p>
    <w:p w14:paraId="0265B100" w14:textId="77777777" w:rsidR="00350034" w:rsidRPr="007A0E31" w:rsidRDefault="00350034" w:rsidP="00350034">
      <w:pPr>
        <w:pStyle w:val="Prrafodelista"/>
        <w:rPr>
          <w:rFonts w:cs="Times New Roman"/>
          <w:szCs w:val="28"/>
          <w:lang w:val="es-CO"/>
        </w:rPr>
      </w:pPr>
    </w:p>
    <w:p w14:paraId="545331DE" w14:textId="22A5C533" w:rsidR="00350034" w:rsidRPr="007A0E31" w:rsidRDefault="00350034" w:rsidP="00921310">
      <w:pPr>
        <w:tabs>
          <w:tab w:val="left" w:pos="284"/>
        </w:tabs>
        <w:rPr>
          <w:rFonts w:cs="Times New Roman"/>
          <w:i/>
          <w:szCs w:val="28"/>
          <w:lang w:val="es-CO"/>
        </w:rPr>
      </w:pPr>
      <w:r w:rsidRPr="007A0E31">
        <w:rPr>
          <w:rFonts w:cs="Times New Roman"/>
          <w:szCs w:val="28"/>
          <w:lang w:val="es-CO"/>
        </w:rPr>
        <w:t xml:space="preserve">En relación con el seguimiento al cumplimiento del </w:t>
      </w:r>
      <w:r w:rsidRPr="007A0E31">
        <w:rPr>
          <w:rFonts w:cs="Times New Roman"/>
          <w:b/>
          <w:szCs w:val="28"/>
          <w:lang w:val="es-CO"/>
        </w:rPr>
        <w:t>Auto 004 de 2009</w:t>
      </w:r>
      <w:r w:rsidRPr="007A0E31">
        <w:rPr>
          <w:rFonts w:cs="Times New Roman"/>
          <w:szCs w:val="28"/>
          <w:lang w:val="es-CO"/>
        </w:rPr>
        <w:t xml:space="preserve">, el </w:t>
      </w:r>
      <w:r w:rsidRPr="007A0E31">
        <w:rPr>
          <w:rFonts w:cs="Times New Roman"/>
          <w:b/>
          <w:szCs w:val="28"/>
          <w:lang w:val="es-CO"/>
        </w:rPr>
        <w:t>Auto 589 de 2018</w:t>
      </w:r>
      <w:r w:rsidRPr="007A0E31">
        <w:rPr>
          <w:rFonts w:cs="Times New Roman"/>
          <w:szCs w:val="28"/>
          <w:lang w:val="es-CO"/>
        </w:rPr>
        <w:t xml:space="preserve"> dispuso: </w:t>
      </w:r>
      <w:r w:rsidR="00921310" w:rsidRPr="007A0E31">
        <w:rPr>
          <w:rFonts w:cs="Times New Roman"/>
          <w:i/>
          <w:szCs w:val="28"/>
          <w:lang w:val="es-CO"/>
        </w:rPr>
        <w:t>“remitir copia de ellas</w:t>
      </w:r>
      <w:r w:rsidR="00424D6C" w:rsidRPr="007A0E31">
        <w:rPr>
          <w:rFonts w:cs="Times New Roman"/>
          <w:i/>
          <w:szCs w:val="28"/>
          <w:lang w:val="es-CO"/>
        </w:rPr>
        <w:t xml:space="preserve"> (…)</w:t>
      </w:r>
      <w:r w:rsidR="00921310" w:rsidRPr="007A0E31">
        <w:rPr>
          <w:rFonts w:cs="Times New Roman"/>
          <w:i/>
          <w:szCs w:val="28"/>
          <w:lang w:val="es-CO"/>
        </w:rPr>
        <w:t>, a la Sala Especial de Seguimiento para el cumplimiento de la Sentencia T-025 de 2004, para que adelante las gestiones pertinentes en el marco de sus competencias”.</w:t>
      </w:r>
    </w:p>
    <w:p w14:paraId="0076F336" w14:textId="77777777" w:rsidR="00424D6C" w:rsidRPr="007A0E31" w:rsidRDefault="00424D6C" w:rsidP="00921310">
      <w:pPr>
        <w:tabs>
          <w:tab w:val="left" w:pos="284"/>
        </w:tabs>
        <w:rPr>
          <w:rFonts w:cs="Times New Roman"/>
          <w:i/>
          <w:szCs w:val="28"/>
          <w:lang w:val="es-CO"/>
        </w:rPr>
      </w:pPr>
    </w:p>
    <w:p w14:paraId="6E5D1C6E" w14:textId="4A27A58A" w:rsidR="00424D6C" w:rsidRPr="007A0E31" w:rsidRDefault="00424D6C" w:rsidP="00424D6C">
      <w:pPr>
        <w:pStyle w:val="Ttulo1"/>
        <w:rPr>
          <w:rFonts w:cs="Times New Roman"/>
          <w:i/>
          <w:szCs w:val="28"/>
        </w:rPr>
      </w:pPr>
      <w:r w:rsidRPr="007A0E31">
        <w:rPr>
          <w:rFonts w:cs="Times New Roman"/>
          <w:szCs w:val="28"/>
        </w:rPr>
        <w:t xml:space="preserve">Consideraciones </w:t>
      </w:r>
    </w:p>
    <w:p w14:paraId="127D8E37" w14:textId="77777777" w:rsidR="00424D6C" w:rsidRPr="007A0E31" w:rsidRDefault="00424D6C" w:rsidP="00424D6C">
      <w:pPr>
        <w:rPr>
          <w:rFonts w:cs="Times New Roman"/>
          <w:szCs w:val="28"/>
          <w:lang w:val="es-CO"/>
        </w:rPr>
      </w:pPr>
    </w:p>
    <w:p w14:paraId="332E1997" w14:textId="77777777" w:rsidR="00D803F9" w:rsidRPr="007A0E31" w:rsidRDefault="00424D6C" w:rsidP="00424D6C">
      <w:pPr>
        <w:numPr>
          <w:ilvl w:val="0"/>
          <w:numId w:val="15"/>
        </w:numPr>
        <w:tabs>
          <w:tab w:val="left" w:pos="284"/>
        </w:tabs>
        <w:ind w:left="0" w:firstLine="0"/>
        <w:rPr>
          <w:rFonts w:cs="Times New Roman"/>
          <w:szCs w:val="28"/>
          <w:lang w:val="es-CO"/>
        </w:rPr>
      </w:pPr>
      <w:r w:rsidRPr="007A0E31">
        <w:rPr>
          <w:rFonts w:cs="Times New Roman"/>
          <w:szCs w:val="28"/>
          <w:lang w:val="es-CO"/>
        </w:rPr>
        <w:t xml:space="preserve">Mediante </w:t>
      </w:r>
      <w:r w:rsidRPr="007A0E31">
        <w:rPr>
          <w:rFonts w:cs="Times New Roman"/>
          <w:b/>
          <w:szCs w:val="28"/>
          <w:lang w:val="es-CO"/>
        </w:rPr>
        <w:t>Auto 266 de 2017</w:t>
      </w:r>
      <w:r w:rsidRPr="007A0E31">
        <w:rPr>
          <w:rFonts w:cs="Times New Roman"/>
          <w:szCs w:val="28"/>
          <w:lang w:val="es-CO"/>
        </w:rPr>
        <w:t xml:space="preserve">, esta Sala Especial de Seguimiento realizó una nueva evaluación de los avances, rezagos y retrocesos en la superación del ECI en el marco del seguimiento a las  órdenes dictadas para la protección de los pueblos indígenas afectados por el desplazamiento forzado o en riesgo de estarlo. En concreto, en esta providencia, se constató un </w:t>
      </w:r>
      <w:r w:rsidRPr="007A0E31">
        <w:rPr>
          <w:rFonts w:cs="Times New Roman"/>
          <w:b/>
          <w:i/>
          <w:szCs w:val="28"/>
          <w:lang w:val="es-CO"/>
        </w:rPr>
        <w:t>nivel bajo</w:t>
      </w:r>
      <w:r w:rsidRPr="007A0E31">
        <w:rPr>
          <w:rFonts w:cs="Times New Roman"/>
          <w:szCs w:val="28"/>
          <w:lang w:val="es-CO"/>
        </w:rPr>
        <w:t xml:space="preserve"> en el cumplimiento por parte del Gobierno Nacional</w:t>
      </w:r>
      <w:r w:rsidRPr="007A0E31">
        <w:rPr>
          <w:rStyle w:val="Refdenotaalpie"/>
          <w:szCs w:val="28"/>
          <w:lang w:val="es-CO"/>
        </w:rPr>
        <w:footnoteReference w:id="5"/>
      </w:r>
      <w:r w:rsidRPr="007A0E31">
        <w:rPr>
          <w:rFonts w:cs="Times New Roman"/>
          <w:szCs w:val="28"/>
          <w:lang w:val="es-CO"/>
        </w:rPr>
        <w:t xml:space="preserve">; la persistencia de riesgos y afectaciones a los derechos a la autonomía, identidad cultural y los derechos territoriales, así como fallas en el componente de registro y caracterización de los pueblos indígenas; encontró que dicha situación obedecía a la presencia de </w:t>
      </w:r>
      <w:r w:rsidRPr="007A0E31">
        <w:rPr>
          <w:rFonts w:cs="Times New Roman"/>
          <w:b/>
          <w:i/>
          <w:szCs w:val="28"/>
          <w:lang w:val="es-CO"/>
        </w:rPr>
        <w:t>bloqueos institucionales</w:t>
      </w:r>
      <w:r w:rsidRPr="007A0E31">
        <w:rPr>
          <w:rFonts w:cs="Times New Roman"/>
          <w:szCs w:val="28"/>
          <w:lang w:val="es-CO"/>
        </w:rPr>
        <w:t xml:space="preserve"> y </w:t>
      </w:r>
      <w:r w:rsidRPr="007A0E31">
        <w:rPr>
          <w:rFonts w:cs="Times New Roman"/>
          <w:b/>
          <w:i/>
          <w:szCs w:val="28"/>
          <w:lang w:val="es-CO"/>
        </w:rPr>
        <w:t>prácticas inconstitucionales</w:t>
      </w:r>
      <w:r w:rsidRPr="007A0E31">
        <w:rPr>
          <w:rFonts w:cs="Times New Roman"/>
          <w:szCs w:val="28"/>
          <w:lang w:val="es-CO"/>
        </w:rPr>
        <w:t xml:space="preserve"> y; en consecuencia, evidenció que Estado de Cosas Inconstitucional respecto de los derechos de los pueblos indígenas persiste</w:t>
      </w:r>
      <w:r w:rsidR="00D803F9" w:rsidRPr="007A0E31">
        <w:rPr>
          <w:rFonts w:cs="Times New Roman"/>
          <w:szCs w:val="28"/>
          <w:lang w:val="es-CO"/>
        </w:rPr>
        <w:t xml:space="preserve">. </w:t>
      </w:r>
    </w:p>
    <w:p w14:paraId="1AE164EC" w14:textId="77777777" w:rsidR="00D803F9" w:rsidRPr="007A0E31" w:rsidRDefault="00D803F9" w:rsidP="00D803F9">
      <w:pPr>
        <w:tabs>
          <w:tab w:val="left" w:pos="284"/>
        </w:tabs>
        <w:rPr>
          <w:rFonts w:cs="Times New Roman"/>
          <w:szCs w:val="28"/>
          <w:lang w:val="es-CO"/>
        </w:rPr>
      </w:pPr>
    </w:p>
    <w:p w14:paraId="6393D66B" w14:textId="3F9E8430" w:rsidR="00A52972" w:rsidRPr="007A0E31" w:rsidRDefault="00D803F9" w:rsidP="00B65615">
      <w:pPr>
        <w:numPr>
          <w:ilvl w:val="0"/>
          <w:numId w:val="15"/>
        </w:numPr>
        <w:tabs>
          <w:tab w:val="left" w:pos="284"/>
        </w:tabs>
        <w:ind w:left="0" w:firstLine="0"/>
        <w:rPr>
          <w:rFonts w:cs="Times New Roman"/>
          <w:szCs w:val="28"/>
          <w:lang w:val="es-CO"/>
        </w:rPr>
      </w:pPr>
      <w:r w:rsidRPr="007A0E31">
        <w:rPr>
          <w:rFonts w:cs="Times New Roman"/>
          <w:szCs w:val="28"/>
          <w:lang w:val="es-CO"/>
        </w:rPr>
        <w:t>Como consecuencia de lo anterior</w:t>
      </w:r>
      <w:r w:rsidR="00424D6C" w:rsidRPr="007A0E31">
        <w:rPr>
          <w:rFonts w:cs="Times New Roman"/>
          <w:szCs w:val="28"/>
          <w:lang w:val="es-CO"/>
        </w:rPr>
        <w:t xml:space="preserve">, </w:t>
      </w:r>
      <w:r w:rsidRPr="007A0E31">
        <w:rPr>
          <w:rFonts w:cs="Times New Roman"/>
          <w:szCs w:val="28"/>
          <w:lang w:val="es-CO"/>
        </w:rPr>
        <w:t xml:space="preserve">en el </w:t>
      </w:r>
      <w:r w:rsidRPr="007A0E31">
        <w:rPr>
          <w:rFonts w:cs="Times New Roman"/>
          <w:b/>
          <w:szCs w:val="28"/>
          <w:lang w:val="es-CO"/>
        </w:rPr>
        <w:t>Auto 266 de 2018</w:t>
      </w:r>
      <w:r w:rsidRPr="007A0E31">
        <w:rPr>
          <w:rFonts w:cs="Times New Roman"/>
          <w:szCs w:val="28"/>
          <w:lang w:val="es-CO"/>
        </w:rPr>
        <w:t xml:space="preserve"> se </w:t>
      </w:r>
      <w:r w:rsidR="00D826D1" w:rsidRPr="007A0E31">
        <w:rPr>
          <w:rFonts w:cs="Times New Roman"/>
          <w:szCs w:val="28"/>
          <w:lang w:val="es-CO"/>
        </w:rPr>
        <w:t>adoptaron nuevas medidas</w:t>
      </w:r>
      <w:r w:rsidR="00424D6C" w:rsidRPr="007A0E31">
        <w:rPr>
          <w:rFonts w:cs="Times New Roman"/>
          <w:szCs w:val="28"/>
          <w:lang w:val="es-CO"/>
        </w:rPr>
        <w:t xml:space="preserve"> para superar dicha situación. </w:t>
      </w:r>
      <w:r w:rsidRPr="007A0E31">
        <w:rPr>
          <w:rFonts w:cs="Times New Roman"/>
          <w:szCs w:val="28"/>
          <w:lang w:val="es-CO"/>
        </w:rPr>
        <w:t>Dentro de ellas</w:t>
      </w:r>
      <w:r w:rsidR="00D826D1" w:rsidRPr="007A0E31">
        <w:rPr>
          <w:rFonts w:cs="Times New Roman"/>
          <w:szCs w:val="28"/>
          <w:lang w:val="es-CO"/>
        </w:rPr>
        <w:t>,</w:t>
      </w:r>
      <w:r w:rsidRPr="007A0E31">
        <w:rPr>
          <w:rFonts w:cs="Times New Roman"/>
          <w:szCs w:val="28"/>
          <w:lang w:val="es-CO"/>
        </w:rPr>
        <w:t xml:space="preserve"> se encuentra </w:t>
      </w:r>
      <w:r w:rsidR="00D826D1" w:rsidRPr="007A0E31">
        <w:rPr>
          <w:rFonts w:cs="Times New Roman"/>
          <w:szCs w:val="28"/>
          <w:lang w:val="es-CO"/>
        </w:rPr>
        <w:t>la orden al Gobierno Nacional de implementar</w:t>
      </w:r>
      <w:r w:rsidRPr="007A0E31">
        <w:rPr>
          <w:rFonts w:cs="Times New Roman"/>
          <w:szCs w:val="28"/>
          <w:lang w:val="es-CO"/>
        </w:rPr>
        <w:t xml:space="preserve"> una estrategia de armonización de las órdenes proferidas en el marco del proceso de seguimiento a la </w:t>
      </w:r>
      <w:r w:rsidRPr="007A0E31">
        <w:rPr>
          <w:rFonts w:cs="Times New Roman"/>
          <w:b/>
          <w:szCs w:val="28"/>
          <w:lang w:val="es-CO"/>
        </w:rPr>
        <w:t>Sentencia T-025 de 2004</w:t>
      </w:r>
      <w:r w:rsidRPr="007A0E31">
        <w:rPr>
          <w:rFonts w:cs="Times New Roman"/>
          <w:szCs w:val="28"/>
          <w:lang w:val="es-CO"/>
        </w:rPr>
        <w:t>, con la política p</w:t>
      </w:r>
      <w:r w:rsidR="00A52972" w:rsidRPr="007A0E31">
        <w:rPr>
          <w:rFonts w:cs="Times New Roman"/>
          <w:szCs w:val="28"/>
          <w:lang w:val="es-CO"/>
        </w:rPr>
        <w:t>ública que posteriormente fue introducida por el Decreto 4633 de 2011. El término de cumplimiento de esta orden es de un (1) año contado a partir de la notificación de dicha providen</w:t>
      </w:r>
      <w:r w:rsidR="00D826D1" w:rsidRPr="007A0E31">
        <w:rPr>
          <w:rFonts w:cs="Times New Roman"/>
          <w:szCs w:val="28"/>
          <w:lang w:val="es-CO"/>
        </w:rPr>
        <w:t>cia</w:t>
      </w:r>
      <w:r w:rsidR="00424D6C" w:rsidRPr="007A0E31">
        <w:rPr>
          <w:rStyle w:val="Refdenotaalpie"/>
          <w:szCs w:val="28"/>
          <w:lang w:val="es-CO"/>
        </w:rPr>
        <w:footnoteReference w:id="6"/>
      </w:r>
      <w:r w:rsidR="00A52972" w:rsidRPr="007A0E31">
        <w:rPr>
          <w:rFonts w:cs="Times New Roman"/>
          <w:szCs w:val="28"/>
          <w:lang w:val="es-CO"/>
        </w:rPr>
        <w:t xml:space="preserve">. </w:t>
      </w:r>
    </w:p>
    <w:p w14:paraId="610AE28D" w14:textId="77777777" w:rsidR="00D826D1" w:rsidRPr="007A0E31" w:rsidRDefault="00D826D1" w:rsidP="00D826D1">
      <w:pPr>
        <w:pStyle w:val="Prrafodelista"/>
        <w:rPr>
          <w:rFonts w:cs="Times New Roman"/>
          <w:szCs w:val="28"/>
          <w:lang w:val="es-CO"/>
        </w:rPr>
      </w:pPr>
    </w:p>
    <w:p w14:paraId="2415F1C2" w14:textId="77777777" w:rsidR="003D2F56" w:rsidRPr="007A0E31" w:rsidRDefault="00D826D1" w:rsidP="003D2F56">
      <w:pPr>
        <w:numPr>
          <w:ilvl w:val="0"/>
          <w:numId w:val="15"/>
        </w:numPr>
        <w:tabs>
          <w:tab w:val="left" w:pos="284"/>
        </w:tabs>
        <w:ind w:left="0" w:firstLine="0"/>
        <w:rPr>
          <w:rFonts w:cs="Times New Roman"/>
          <w:szCs w:val="28"/>
          <w:lang w:val="es-CO"/>
        </w:rPr>
      </w:pPr>
      <w:r w:rsidRPr="007A0E31">
        <w:rPr>
          <w:rFonts w:cs="Times New Roman"/>
          <w:szCs w:val="28"/>
          <w:lang w:val="es-CO"/>
        </w:rPr>
        <w:t xml:space="preserve">Conforme con lo expuesto, </w:t>
      </w:r>
      <w:r w:rsidRPr="007A0E31">
        <w:rPr>
          <w:rFonts w:cs="Times New Roman"/>
          <w:szCs w:val="28"/>
          <w:lang w:val="es-CO" w:eastAsia="es-ES"/>
        </w:rPr>
        <w:t xml:space="preserve">es claro que la Sala Especial de Seguimiento continúa evaluando la respuesta estatal en relación con la protección y atención de los pueblos indígenas víctimas del conflicto armado, la violencia y el desplazamiento forzado con la finalidad de asegurar el goce efectivo de sus derechos. </w:t>
      </w:r>
    </w:p>
    <w:p w14:paraId="08C532A3" w14:textId="77777777" w:rsidR="003D2F56" w:rsidRPr="007A0E31" w:rsidRDefault="003D2F56" w:rsidP="003D2F56">
      <w:pPr>
        <w:pStyle w:val="Prrafodelista"/>
        <w:rPr>
          <w:rFonts w:cs="Times New Roman"/>
          <w:szCs w:val="28"/>
          <w:lang w:val="es-CO" w:eastAsia="es-ES"/>
        </w:rPr>
      </w:pPr>
    </w:p>
    <w:p w14:paraId="3AFBB038" w14:textId="72FFFDA7" w:rsidR="003D2F56" w:rsidRPr="007A0E31" w:rsidRDefault="00D826D1" w:rsidP="003D2F56">
      <w:pPr>
        <w:numPr>
          <w:ilvl w:val="0"/>
          <w:numId w:val="15"/>
        </w:numPr>
        <w:tabs>
          <w:tab w:val="left" w:pos="284"/>
        </w:tabs>
        <w:ind w:left="0" w:firstLine="0"/>
        <w:rPr>
          <w:rFonts w:cs="Times New Roman"/>
          <w:szCs w:val="28"/>
          <w:lang w:val="es-CO"/>
        </w:rPr>
      </w:pPr>
      <w:r w:rsidRPr="007A0E31">
        <w:rPr>
          <w:rFonts w:cs="Times New Roman"/>
          <w:szCs w:val="28"/>
          <w:lang w:val="es-CO" w:eastAsia="es-ES"/>
        </w:rPr>
        <w:t xml:space="preserve">En este sentido, </w:t>
      </w:r>
      <w:r w:rsidR="00A52972" w:rsidRPr="007A0E31">
        <w:rPr>
          <w:rFonts w:cs="Times New Roman"/>
          <w:szCs w:val="28"/>
          <w:lang w:val="es-CO"/>
        </w:rPr>
        <w:t xml:space="preserve">esta Sala Especial tomará atenta nota de la información y la solicitud presentada por las Autoridades del Resguardo de </w:t>
      </w:r>
      <w:proofErr w:type="spellStart"/>
      <w:r w:rsidR="00A52972" w:rsidRPr="007A0E31">
        <w:rPr>
          <w:rFonts w:cs="Times New Roman"/>
          <w:szCs w:val="28"/>
          <w:lang w:val="es-CO"/>
        </w:rPr>
        <w:t>Jambaló</w:t>
      </w:r>
      <w:proofErr w:type="spellEnd"/>
      <w:r w:rsidR="00A52972" w:rsidRPr="007A0E31">
        <w:rPr>
          <w:rFonts w:cs="Times New Roman"/>
          <w:szCs w:val="28"/>
          <w:lang w:val="es-CO"/>
        </w:rPr>
        <w:t xml:space="preserve"> (Cauca) a efectos de valorar las acciones adelantadas por el Gobierno Nacional en cumplimiento de las órdenes dictadas tanto en la </w:t>
      </w:r>
      <w:r w:rsidR="00A52972" w:rsidRPr="007A0E31">
        <w:rPr>
          <w:rFonts w:cs="Times New Roman"/>
          <w:b/>
          <w:szCs w:val="28"/>
          <w:lang w:val="es-CO"/>
        </w:rPr>
        <w:t>Sentencia T-025 de 2004</w:t>
      </w:r>
      <w:r w:rsidRPr="007A0E31">
        <w:rPr>
          <w:rFonts w:cs="Times New Roman"/>
          <w:szCs w:val="28"/>
          <w:lang w:val="es-CO"/>
        </w:rPr>
        <w:t xml:space="preserve"> y </w:t>
      </w:r>
      <w:r w:rsidR="00A52972" w:rsidRPr="007A0E31">
        <w:rPr>
          <w:rFonts w:cs="Times New Roman"/>
          <w:szCs w:val="28"/>
          <w:lang w:val="es-CO"/>
        </w:rPr>
        <w:t xml:space="preserve">sus Autos complementarios, </w:t>
      </w:r>
      <w:r w:rsidRPr="007A0E31">
        <w:rPr>
          <w:rFonts w:cs="Times New Roman"/>
          <w:szCs w:val="28"/>
          <w:lang w:val="es-CO"/>
        </w:rPr>
        <w:t>y será objeto en su debido momento, de las correspondientes decisione</w:t>
      </w:r>
      <w:r w:rsidR="003D2F56" w:rsidRPr="007A0E31">
        <w:rPr>
          <w:rFonts w:cs="Times New Roman"/>
          <w:szCs w:val="28"/>
          <w:lang w:val="es-CO"/>
        </w:rPr>
        <w:t>s por parte de esta Corporación.</w:t>
      </w:r>
    </w:p>
    <w:p w14:paraId="61B2D81E" w14:textId="77777777" w:rsidR="003D2F56" w:rsidRPr="007A0E31" w:rsidRDefault="003D2F56" w:rsidP="003D2F56">
      <w:pPr>
        <w:pStyle w:val="Prrafodelista"/>
        <w:rPr>
          <w:rFonts w:cs="Times New Roman"/>
          <w:szCs w:val="28"/>
          <w:lang w:val="es-CO"/>
        </w:rPr>
      </w:pPr>
    </w:p>
    <w:p w14:paraId="207C44E8" w14:textId="0F3CF71E" w:rsidR="003D2F56" w:rsidRPr="007A0E31" w:rsidRDefault="003D2F56" w:rsidP="003D2F56">
      <w:pPr>
        <w:numPr>
          <w:ilvl w:val="0"/>
          <w:numId w:val="15"/>
        </w:numPr>
        <w:tabs>
          <w:tab w:val="left" w:pos="284"/>
        </w:tabs>
        <w:ind w:left="0" w:firstLine="0"/>
        <w:rPr>
          <w:rFonts w:cs="Times New Roman"/>
          <w:szCs w:val="28"/>
          <w:lang w:val="es-CO"/>
        </w:rPr>
      </w:pPr>
      <w:r w:rsidRPr="007A0E31">
        <w:rPr>
          <w:rFonts w:cs="Times New Roman"/>
          <w:szCs w:val="28"/>
          <w:lang w:val="es-CO"/>
        </w:rPr>
        <w:t xml:space="preserve">Finalmente, es preciso advertir que, de acuerdo con lo expuesto en el </w:t>
      </w:r>
      <w:r w:rsidRPr="007A0E31">
        <w:rPr>
          <w:rFonts w:cs="Times New Roman"/>
          <w:b/>
          <w:szCs w:val="28"/>
          <w:lang w:val="es-CO"/>
        </w:rPr>
        <w:t>Auto 589 de 2018</w:t>
      </w:r>
      <w:r w:rsidRPr="007A0E31">
        <w:rPr>
          <w:rFonts w:cs="Times New Roman"/>
          <w:szCs w:val="28"/>
          <w:lang w:val="es-CO"/>
        </w:rPr>
        <w:t xml:space="preserve">, no corresponde a esta Corporación –y por ende a esta Sala Especial– verificar el cumplimiento de las medidas cautelares no. 255 de 2011 dictadas por la Comisión Interamericana de Derechos </w:t>
      </w:r>
      <w:r w:rsidR="007A0E31" w:rsidRPr="007A0E31">
        <w:rPr>
          <w:rFonts w:cs="Times New Roman"/>
          <w:szCs w:val="28"/>
          <w:lang w:val="es-CO"/>
        </w:rPr>
        <w:t xml:space="preserve">Humanos; de </w:t>
      </w:r>
      <w:r w:rsidRPr="007A0E31">
        <w:rPr>
          <w:rFonts w:cs="Times New Roman"/>
          <w:szCs w:val="28"/>
          <w:lang w:val="es-CO"/>
        </w:rPr>
        <w:t xml:space="preserve">la </w:t>
      </w:r>
      <w:r w:rsidRPr="007A0E31">
        <w:rPr>
          <w:rFonts w:cs="Times New Roman"/>
          <w:b/>
          <w:szCs w:val="28"/>
          <w:lang w:val="es-CO"/>
        </w:rPr>
        <w:t>Sentencia T-030 de 2016</w:t>
      </w:r>
      <w:r w:rsidR="007A0E31" w:rsidRPr="007A0E31">
        <w:rPr>
          <w:rFonts w:cs="Times New Roman"/>
          <w:b/>
          <w:szCs w:val="28"/>
          <w:lang w:val="es-CO"/>
        </w:rPr>
        <w:t xml:space="preserve">; </w:t>
      </w:r>
      <w:r w:rsidR="007A0E31" w:rsidRPr="007A0E31">
        <w:rPr>
          <w:rFonts w:cs="Times New Roman"/>
          <w:szCs w:val="28"/>
          <w:lang w:val="es-CO"/>
        </w:rPr>
        <w:t>ni de</w:t>
      </w:r>
      <w:r w:rsidRPr="007A0E31">
        <w:rPr>
          <w:rFonts w:cs="Times New Roman"/>
          <w:szCs w:val="28"/>
          <w:lang w:val="es-CO"/>
        </w:rPr>
        <w:t xml:space="preserve"> los planes de reparación colectiva que se adelantan en favor de los pueblos Nasa y </w:t>
      </w:r>
      <w:proofErr w:type="spellStart"/>
      <w:r w:rsidRPr="007A0E31">
        <w:rPr>
          <w:rFonts w:cs="Times New Roman"/>
          <w:szCs w:val="28"/>
          <w:lang w:val="es-CO"/>
        </w:rPr>
        <w:t>Misak</w:t>
      </w:r>
      <w:proofErr w:type="spellEnd"/>
      <w:r w:rsidRPr="007A0E31">
        <w:rPr>
          <w:rFonts w:cs="Times New Roman"/>
          <w:szCs w:val="28"/>
          <w:lang w:val="es-CO"/>
        </w:rPr>
        <w:t xml:space="preserve">. </w:t>
      </w:r>
    </w:p>
    <w:p w14:paraId="0CB70E84" w14:textId="77777777" w:rsidR="00D826D1" w:rsidRPr="007A0E31" w:rsidRDefault="00D826D1" w:rsidP="00D826D1">
      <w:pPr>
        <w:rPr>
          <w:rFonts w:cs="Times New Roman"/>
          <w:szCs w:val="28"/>
          <w:lang w:val="es-CO" w:eastAsia="es-ES"/>
        </w:rPr>
      </w:pPr>
    </w:p>
    <w:p w14:paraId="65B4A4FC" w14:textId="77777777" w:rsidR="00D826D1" w:rsidRPr="007A0E31" w:rsidRDefault="00D826D1" w:rsidP="00D826D1">
      <w:pPr>
        <w:pStyle w:val="Prrafodelista"/>
        <w:ind w:left="0"/>
        <w:rPr>
          <w:rFonts w:cs="Times New Roman"/>
          <w:color w:val="000000" w:themeColor="text1"/>
          <w:szCs w:val="28"/>
          <w:lang w:val="es-CO"/>
        </w:rPr>
      </w:pPr>
      <w:r w:rsidRPr="007A0E31">
        <w:rPr>
          <w:rFonts w:cs="Times New Roman"/>
          <w:color w:val="000000" w:themeColor="text1"/>
          <w:szCs w:val="28"/>
          <w:lang w:val="es-CO"/>
        </w:rPr>
        <w:t>En consecuencia, la suscrita Magistrada,</w:t>
      </w:r>
    </w:p>
    <w:p w14:paraId="5E2A38E1" w14:textId="77777777" w:rsidR="00D826D1" w:rsidRPr="007A0E31" w:rsidRDefault="00D826D1" w:rsidP="00D826D1">
      <w:pPr>
        <w:pStyle w:val="Prrafodelista"/>
        <w:ind w:left="0"/>
        <w:rPr>
          <w:rFonts w:cs="Times New Roman"/>
          <w:color w:val="000000" w:themeColor="text1"/>
          <w:szCs w:val="28"/>
          <w:lang w:val="es-CO"/>
        </w:rPr>
      </w:pPr>
    </w:p>
    <w:p w14:paraId="14D4E7B5" w14:textId="77777777" w:rsidR="00D826D1" w:rsidRPr="007A0E31" w:rsidRDefault="00D826D1" w:rsidP="00D826D1">
      <w:pPr>
        <w:pStyle w:val="Ttulo1"/>
        <w:rPr>
          <w:rFonts w:cs="Times New Roman"/>
          <w:noProof w:val="0"/>
          <w:color w:val="000000" w:themeColor="text1"/>
          <w:szCs w:val="28"/>
        </w:rPr>
      </w:pPr>
      <w:r w:rsidRPr="007A0E31">
        <w:rPr>
          <w:rFonts w:cs="Times New Roman"/>
          <w:noProof w:val="0"/>
          <w:color w:val="000000" w:themeColor="text1"/>
          <w:szCs w:val="28"/>
        </w:rPr>
        <w:t>RESUELVE</w:t>
      </w:r>
    </w:p>
    <w:p w14:paraId="46C9C7AC" w14:textId="77777777" w:rsidR="00D826D1" w:rsidRPr="007A0E31" w:rsidRDefault="00D826D1" w:rsidP="00D826D1">
      <w:pPr>
        <w:rPr>
          <w:rFonts w:cs="Times New Roman"/>
          <w:b/>
          <w:color w:val="000000" w:themeColor="text1"/>
          <w:szCs w:val="28"/>
          <w:lang w:val="es-CO"/>
        </w:rPr>
      </w:pPr>
    </w:p>
    <w:p w14:paraId="2A31BCB8" w14:textId="287E4495" w:rsidR="007A0E31" w:rsidRPr="007A0E31" w:rsidRDefault="007A0E31" w:rsidP="00D826D1">
      <w:pPr>
        <w:tabs>
          <w:tab w:val="left" w:pos="284"/>
        </w:tabs>
        <w:rPr>
          <w:rFonts w:cs="Times New Roman"/>
          <w:color w:val="000000" w:themeColor="text1"/>
          <w:szCs w:val="28"/>
          <w:lang w:val="es-CO"/>
        </w:rPr>
      </w:pPr>
      <w:r w:rsidRPr="007A0E31">
        <w:rPr>
          <w:rFonts w:cs="Times New Roman"/>
          <w:b/>
          <w:color w:val="000000" w:themeColor="text1"/>
          <w:szCs w:val="28"/>
          <w:lang w:val="es-CO"/>
        </w:rPr>
        <w:t>Primero.- NEGAR</w:t>
      </w:r>
      <w:r w:rsidRPr="007A0E31">
        <w:rPr>
          <w:rFonts w:cs="Times New Roman"/>
          <w:color w:val="000000" w:themeColor="text1"/>
          <w:szCs w:val="28"/>
          <w:lang w:val="es-CO"/>
        </w:rPr>
        <w:t xml:space="preserve">, las solicitudes de </w:t>
      </w:r>
      <w:r w:rsidRPr="007A0E31">
        <w:rPr>
          <w:rFonts w:cs="Times New Roman"/>
          <w:szCs w:val="28"/>
          <w:lang w:val="es-CO"/>
        </w:rPr>
        <w:t xml:space="preserve">Autoridades Tradicionales del Resguardo Indígena de </w:t>
      </w:r>
      <w:proofErr w:type="spellStart"/>
      <w:r w:rsidRPr="007A0E31">
        <w:rPr>
          <w:rFonts w:cs="Times New Roman"/>
          <w:szCs w:val="28"/>
          <w:lang w:val="es-CO"/>
        </w:rPr>
        <w:t>Jambaló</w:t>
      </w:r>
      <w:proofErr w:type="spellEnd"/>
      <w:r w:rsidRPr="007A0E31">
        <w:rPr>
          <w:rFonts w:cs="Times New Roman"/>
          <w:szCs w:val="28"/>
          <w:lang w:val="es-CO"/>
        </w:rPr>
        <w:t xml:space="preserve"> (Cauca) de asumir la competencia para verificar el cumplimiento de las medidas cautelares no. 255 de 2011 dictadas por la Comisión Interamericana de Derechos Humanos; la </w:t>
      </w:r>
      <w:r w:rsidRPr="007A0E31">
        <w:rPr>
          <w:rFonts w:cs="Times New Roman"/>
          <w:b/>
          <w:szCs w:val="28"/>
          <w:lang w:val="es-CO"/>
        </w:rPr>
        <w:t>Sentencia T-030 de 2016</w:t>
      </w:r>
      <w:r w:rsidRPr="007A0E31">
        <w:rPr>
          <w:rFonts w:cs="Times New Roman"/>
          <w:szCs w:val="28"/>
          <w:lang w:val="es-CO"/>
        </w:rPr>
        <w:t xml:space="preserve">; y los planes de reparación colectiva que se adelantan en favor de los pueblos Nasa y </w:t>
      </w:r>
      <w:proofErr w:type="spellStart"/>
      <w:r w:rsidRPr="007A0E31">
        <w:rPr>
          <w:rFonts w:cs="Times New Roman"/>
          <w:szCs w:val="28"/>
          <w:lang w:val="es-CO"/>
        </w:rPr>
        <w:t>Misak</w:t>
      </w:r>
      <w:proofErr w:type="spellEnd"/>
      <w:r w:rsidRPr="007A0E31">
        <w:rPr>
          <w:rFonts w:cs="Times New Roman"/>
          <w:szCs w:val="28"/>
          <w:lang w:val="es-CO"/>
        </w:rPr>
        <w:t>.</w:t>
      </w:r>
    </w:p>
    <w:p w14:paraId="14C84DFC" w14:textId="77777777" w:rsidR="007A0E31" w:rsidRPr="007A0E31" w:rsidRDefault="007A0E31" w:rsidP="00D826D1">
      <w:pPr>
        <w:tabs>
          <w:tab w:val="left" w:pos="284"/>
        </w:tabs>
        <w:rPr>
          <w:rFonts w:cs="Times New Roman"/>
          <w:b/>
          <w:color w:val="000000" w:themeColor="text1"/>
          <w:szCs w:val="28"/>
          <w:lang w:val="es-CO"/>
        </w:rPr>
      </w:pPr>
    </w:p>
    <w:p w14:paraId="43DC98A6" w14:textId="418F6DFF" w:rsidR="00D826D1" w:rsidRPr="007A0E31" w:rsidRDefault="007A0E31" w:rsidP="007A0E31">
      <w:pPr>
        <w:tabs>
          <w:tab w:val="left" w:pos="284"/>
        </w:tabs>
        <w:rPr>
          <w:rFonts w:cs="Times New Roman"/>
          <w:szCs w:val="28"/>
          <w:lang w:val="es-CO" w:eastAsia="es-ES"/>
        </w:rPr>
      </w:pPr>
      <w:r w:rsidRPr="007A0E31">
        <w:rPr>
          <w:rFonts w:cs="Times New Roman"/>
          <w:b/>
          <w:color w:val="000000" w:themeColor="text1"/>
          <w:szCs w:val="28"/>
          <w:lang w:val="es-CO"/>
        </w:rPr>
        <w:t xml:space="preserve">Segundo.- </w:t>
      </w:r>
      <w:r w:rsidR="00D826D1" w:rsidRPr="007A0E31">
        <w:rPr>
          <w:rFonts w:cs="Times New Roman"/>
          <w:b/>
          <w:color w:val="000000" w:themeColor="text1"/>
          <w:szCs w:val="28"/>
          <w:lang w:val="es-CO"/>
        </w:rPr>
        <w:t>INFORMAR</w:t>
      </w:r>
      <w:r w:rsidR="00D826D1" w:rsidRPr="00361FFE">
        <w:rPr>
          <w:rFonts w:cs="Times New Roman"/>
          <w:color w:val="000000" w:themeColor="text1"/>
          <w:szCs w:val="28"/>
          <w:lang w:val="es-CO"/>
        </w:rPr>
        <w:t>,</w:t>
      </w:r>
      <w:r w:rsidR="00D826D1" w:rsidRPr="007A0E31">
        <w:rPr>
          <w:rFonts w:cs="Times New Roman"/>
          <w:b/>
          <w:color w:val="000000" w:themeColor="text1"/>
          <w:szCs w:val="28"/>
          <w:lang w:val="es-CO"/>
        </w:rPr>
        <w:t xml:space="preserve"> </w:t>
      </w:r>
      <w:r w:rsidR="00D826D1" w:rsidRPr="007A0E31">
        <w:rPr>
          <w:rFonts w:cs="Times New Roman"/>
          <w:color w:val="000000" w:themeColor="text1"/>
          <w:szCs w:val="28"/>
          <w:lang w:val="es-CO"/>
        </w:rPr>
        <w:t xml:space="preserve">por intermedio de la Secretaría General de la Corte Constitucional, </w:t>
      </w:r>
      <w:r w:rsidRPr="007A0E31">
        <w:rPr>
          <w:rFonts w:cs="Times New Roman"/>
          <w:color w:val="000000" w:themeColor="text1"/>
          <w:szCs w:val="28"/>
          <w:lang w:val="es-CO"/>
        </w:rPr>
        <w:t xml:space="preserve">a los peticionarios que, la información y la petición elevada por </w:t>
      </w:r>
      <w:r w:rsidR="00D826D1" w:rsidRPr="007A0E31">
        <w:rPr>
          <w:rFonts w:cs="Times New Roman"/>
          <w:color w:val="000000" w:themeColor="text1"/>
          <w:szCs w:val="28"/>
          <w:lang w:val="es-CO"/>
        </w:rPr>
        <w:t xml:space="preserve">las </w:t>
      </w:r>
      <w:r w:rsidR="00D826D1" w:rsidRPr="007A0E31">
        <w:rPr>
          <w:rFonts w:cs="Times New Roman"/>
          <w:szCs w:val="28"/>
          <w:lang w:val="es-CO"/>
        </w:rPr>
        <w:t xml:space="preserve">Autoridades Tradicionales del Resguardo Indígena de </w:t>
      </w:r>
      <w:proofErr w:type="spellStart"/>
      <w:r w:rsidR="00D826D1" w:rsidRPr="007A0E31">
        <w:rPr>
          <w:rFonts w:cs="Times New Roman"/>
          <w:szCs w:val="28"/>
          <w:lang w:val="es-CO"/>
        </w:rPr>
        <w:t>Jambaló</w:t>
      </w:r>
      <w:proofErr w:type="spellEnd"/>
      <w:r w:rsidR="00D826D1" w:rsidRPr="007A0E31">
        <w:rPr>
          <w:rFonts w:cs="Times New Roman"/>
          <w:szCs w:val="28"/>
          <w:lang w:val="es-CO"/>
        </w:rPr>
        <w:t xml:space="preserve"> (Cauca)</w:t>
      </w:r>
      <w:r w:rsidRPr="007A0E31">
        <w:rPr>
          <w:rFonts w:cs="Times New Roman"/>
          <w:szCs w:val="28"/>
          <w:lang w:val="es-CO"/>
        </w:rPr>
        <w:t xml:space="preserve"> será tomada </w:t>
      </w:r>
      <w:r w:rsidRPr="007A0E31">
        <w:rPr>
          <w:rFonts w:cs="Times New Roman"/>
          <w:color w:val="000000" w:themeColor="text1"/>
          <w:szCs w:val="28"/>
          <w:lang w:val="es-CO"/>
        </w:rPr>
        <w:t xml:space="preserve">en cuenta para </w:t>
      </w:r>
      <w:r w:rsidR="00D826D1" w:rsidRPr="007A0E31">
        <w:rPr>
          <w:rFonts w:cs="Times New Roman"/>
          <w:szCs w:val="28"/>
          <w:lang w:val="es-CO"/>
        </w:rPr>
        <w:t xml:space="preserve">efectos de valorar las acciones adelantadas por el Gobierno Nacional en cumplimiento de las órdenes dictadas tanto en la </w:t>
      </w:r>
      <w:r w:rsidR="00D826D1" w:rsidRPr="007A0E31">
        <w:rPr>
          <w:rFonts w:cs="Times New Roman"/>
          <w:b/>
          <w:szCs w:val="28"/>
          <w:lang w:val="es-CO"/>
        </w:rPr>
        <w:lastRenderedPageBreak/>
        <w:t>Sentencia T-025 de 2004</w:t>
      </w:r>
      <w:r w:rsidR="00D826D1" w:rsidRPr="007A0E31">
        <w:rPr>
          <w:rFonts w:cs="Times New Roman"/>
          <w:szCs w:val="28"/>
          <w:lang w:val="es-CO"/>
        </w:rPr>
        <w:t xml:space="preserve"> y sus Autos complementarios, y </w:t>
      </w:r>
      <w:r w:rsidRPr="007A0E31">
        <w:rPr>
          <w:rFonts w:cs="Times New Roman"/>
          <w:szCs w:val="28"/>
          <w:lang w:val="es-CO"/>
        </w:rPr>
        <w:t xml:space="preserve">que la misma </w:t>
      </w:r>
      <w:r w:rsidR="00D826D1" w:rsidRPr="007A0E31">
        <w:rPr>
          <w:rFonts w:cs="Times New Roman"/>
          <w:szCs w:val="28"/>
          <w:lang w:val="es-CO"/>
        </w:rPr>
        <w:t>será objeto en su debido momento, de las correspondientes decisiones por parte de esta Corporación.</w:t>
      </w:r>
    </w:p>
    <w:p w14:paraId="1E4FA14C" w14:textId="77777777" w:rsidR="00D826D1" w:rsidRPr="007A0E31" w:rsidRDefault="00D826D1" w:rsidP="00D826D1">
      <w:pPr>
        <w:rPr>
          <w:rFonts w:cs="Times New Roman"/>
          <w:color w:val="000000" w:themeColor="text1"/>
          <w:szCs w:val="28"/>
          <w:lang w:val="es-CO"/>
        </w:rPr>
      </w:pPr>
    </w:p>
    <w:p w14:paraId="774353D6" w14:textId="77777777" w:rsidR="00D826D1" w:rsidRPr="007A0E31" w:rsidRDefault="00D826D1" w:rsidP="00D826D1">
      <w:pPr>
        <w:rPr>
          <w:rFonts w:cs="Times New Roman"/>
          <w:color w:val="000000" w:themeColor="text1"/>
          <w:szCs w:val="28"/>
          <w:lang w:val="es-CO"/>
        </w:rPr>
      </w:pPr>
      <w:r w:rsidRPr="007A0E31">
        <w:rPr>
          <w:rFonts w:cs="Times New Roman"/>
          <w:color w:val="000000" w:themeColor="text1"/>
          <w:szCs w:val="28"/>
          <w:lang w:val="es-CO"/>
        </w:rPr>
        <w:t>Cúmplase,</w:t>
      </w:r>
    </w:p>
    <w:p w14:paraId="6CF43678" w14:textId="77777777" w:rsidR="00D826D1" w:rsidRPr="007A0E31" w:rsidRDefault="00D826D1" w:rsidP="00D826D1">
      <w:pPr>
        <w:tabs>
          <w:tab w:val="left" w:pos="2464"/>
        </w:tabs>
        <w:jc w:val="center"/>
        <w:rPr>
          <w:rFonts w:cs="Times New Roman"/>
          <w:szCs w:val="28"/>
          <w:lang w:val="es-CO"/>
        </w:rPr>
      </w:pPr>
    </w:p>
    <w:p w14:paraId="6FDA9200" w14:textId="77777777" w:rsidR="00D826D1" w:rsidRPr="007A0E31" w:rsidRDefault="00D826D1" w:rsidP="00D826D1">
      <w:pPr>
        <w:tabs>
          <w:tab w:val="left" w:pos="2464"/>
        </w:tabs>
        <w:jc w:val="center"/>
        <w:rPr>
          <w:rFonts w:cs="Times New Roman"/>
          <w:szCs w:val="28"/>
          <w:lang w:val="es-CO"/>
        </w:rPr>
      </w:pPr>
    </w:p>
    <w:p w14:paraId="2F20064F" w14:textId="77777777" w:rsidR="00D826D1" w:rsidRPr="007A0E31" w:rsidRDefault="00D826D1" w:rsidP="00D826D1">
      <w:pPr>
        <w:tabs>
          <w:tab w:val="left" w:pos="2464"/>
        </w:tabs>
        <w:jc w:val="center"/>
        <w:rPr>
          <w:rFonts w:cs="Times New Roman"/>
          <w:szCs w:val="28"/>
          <w:lang w:val="es-CO"/>
        </w:rPr>
      </w:pPr>
    </w:p>
    <w:p w14:paraId="7A9EC55C" w14:textId="77777777" w:rsidR="00D826D1" w:rsidRPr="007A0E31" w:rsidRDefault="00D826D1" w:rsidP="00D826D1">
      <w:pPr>
        <w:tabs>
          <w:tab w:val="left" w:pos="2464"/>
        </w:tabs>
        <w:jc w:val="center"/>
        <w:rPr>
          <w:rFonts w:cs="Times New Roman"/>
          <w:szCs w:val="28"/>
          <w:lang w:val="es-CO"/>
        </w:rPr>
      </w:pPr>
    </w:p>
    <w:p w14:paraId="38065142" w14:textId="77777777" w:rsidR="00D826D1" w:rsidRPr="007A0E31" w:rsidRDefault="00D826D1" w:rsidP="00D826D1">
      <w:pPr>
        <w:tabs>
          <w:tab w:val="left" w:pos="2464"/>
        </w:tabs>
        <w:jc w:val="center"/>
        <w:rPr>
          <w:rFonts w:cs="Times New Roman"/>
          <w:b/>
          <w:szCs w:val="28"/>
          <w:lang w:val="es-CO"/>
        </w:rPr>
      </w:pPr>
      <w:r w:rsidRPr="007A0E31">
        <w:rPr>
          <w:rFonts w:cs="Times New Roman"/>
          <w:b/>
          <w:szCs w:val="28"/>
          <w:lang w:val="es-CO"/>
        </w:rPr>
        <w:t>GLORIA STELLA ORTIZ DELGADO</w:t>
      </w:r>
    </w:p>
    <w:p w14:paraId="65682E1C" w14:textId="77777777" w:rsidR="00D826D1" w:rsidRPr="007A0E31" w:rsidRDefault="00D826D1" w:rsidP="00D826D1">
      <w:pPr>
        <w:tabs>
          <w:tab w:val="left" w:pos="2464"/>
        </w:tabs>
        <w:jc w:val="center"/>
        <w:rPr>
          <w:rFonts w:cs="Times New Roman"/>
          <w:szCs w:val="28"/>
          <w:lang w:val="es-CO"/>
        </w:rPr>
      </w:pPr>
      <w:r w:rsidRPr="007A0E31">
        <w:rPr>
          <w:rFonts w:cs="Times New Roman"/>
          <w:szCs w:val="28"/>
          <w:lang w:val="es-CO"/>
        </w:rPr>
        <w:t>Magistrada Presidente</w:t>
      </w:r>
    </w:p>
    <w:p w14:paraId="68BDDFE8" w14:textId="77777777" w:rsidR="00D826D1" w:rsidRPr="007A0E31" w:rsidRDefault="00D826D1" w:rsidP="00D826D1">
      <w:pPr>
        <w:tabs>
          <w:tab w:val="left" w:pos="2464"/>
        </w:tabs>
        <w:jc w:val="center"/>
        <w:rPr>
          <w:rFonts w:cs="Times New Roman"/>
          <w:szCs w:val="28"/>
          <w:lang w:val="es-CO"/>
        </w:rPr>
      </w:pPr>
      <w:r w:rsidRPr="007A0E31">
        <w:rPr>
          <w:rFonts w:cs="Times New Roman"/>
          <w:szCs w:val="28"/>
          <w:lang w:val="es-CO"/>
        </w:rPr>
        <w:t>Sala Especial Seguimiento Sentencia T-025 de 2004</w:t>
      </w:r>
    </w:p>
    <w:p w14:paraId="5743AB29" w14:textId="77777777" w:rsidR="00D826D1" w:rsidRPr="007A0E31" w:rsidRDefault="00D826D1" w:rsidP="00D826D1">
      <w:pPr>
        <w:tabs>
          <w:tab w:val="left" w:pos="2464"/>
        </w:tabs>
        <w:jc w:val="center"/>
        <w:rPr>
          <w:rFonts w:cs="Times New Roman"/>
          <w:b/>
          <w:szCs w:val="28"/>
          <w:lang w:val="es-CO"/>
        </w:rPr>
      </w:pPr>
    </w:p>
    <w:p w14:paraId="471DA4BD" w14:textId="77777777" w:rsidR="00D826D1" w:rsidRPr="007A0E31" w:rsidRDefault="00D826D1" w:rsidP="00D826D1">
      <w:pPr>
        <w:tabs>
          <w:tab w:val="left" w:pos="2464"/>
        </w:tabs>
        <w:jc w:val="center"/>
        <w:rPr>
          <w:rFonts w:cs="Times New Roman"/>
          <w:b/>
          <w:szCs w:val="28"/>
          <w:lang w:val="es-CO"/>
        </w:rPr>
      </w:pPr>
    </w:p>
    <w:p w14:paraId="5745C61E" w14:textId="77777777" w:rsidR="00D826D1" w:rsidRPr="007A0E31" w:rsidRDefault="00D826D1" w:rsidP="00D826D1">
      <w:pPr>
        <w:tabs>
          <w:tab w:val="left" w:pos="2464"/>
        </w:tabs>
        <w:jc w:val="center"/>
        <w:rPr>
          <w:rFonts w:cs="Times New Roman"/>
          <w:b/>
          <w:szCs w:val="28"/>
          <w:lang w:val="es-CO"/>
        </w:rPr>
      </w:pPr>
    </w:p>
    <w:p w14:paraId="2ACE5679" w14:textId="77777777" w:rsidR="00D826D1" w:rsidRPr="007A0E31" w:rsidRDefault="00D826D1" w:rsidP="00D826D1">
      <w:pPr>
        <w:tabs>
          <w:tab w:val="left" w:pos="2464"/>
        </w:tabs>
        <w:jc w:val="center"/>
        <w:rPr>
          <w:rFonts w:cs="Times New Roman"/>
          <w:b/>
          <w:szCs w:val="28"/>
          <w:lang w:val="es-CO"/>
        </w:rPr>
      </w:pPr>
    </w:p>
    <w:p w14:paraId="48D8372C" w14:textId="77777777" w:rsidR="00D826D1" w:rsidRPr="007A0E31" w:rsidRDefault="00D826D1" w:rsidP="00D826D1">
      <w:pPr>
        <w:jc w:val="center"/>
        <w:rPr>
          <w:rFonts w:cs="Times New Roman"/>
          <w:b/>
          <w:szCs w:val="28"/>
          <w:lang w:val="es-CO"/>
        </w:rPr>
      </w:pPr>
      <w:r w:rsidRPr="007A0E31">
        <w:rPr>
          <w:rFonts w:cs="Times New Roman"/>
          <w:b/>
          <w:szCs w:val="28"/>
          <w:lang w:val="es-CO"/>
        </w:rPr>
        <w:t>MARTHA VICTORIA SÁCHICA MENDEZ</w:t>
      </w:r>
    </w:p>
    <w:p w14:paraId="29C97D4F" w14:textId="47B15174" w:rsidR="00D826D1" w:rsidRPr="007A0E31" w:rsidRDefault="00D826D1" w:rsidP="00D826D1">
      <w:pPr>
        <w:jc w:val="center"/>
        <w:rPr>
          <w:rFonts w:cs="Times New Roman"/>
          <w:szCs w:val="28"/>
          <w:lang w:val="es-CO"/>
        </w:rPr>
      </w:pPr>
      <w:r w:rsidRPr="007A0E31">
        <w:rPr>
          <w:rFonts w:cs="Times New Roman"/>
          <w:szCs w:val="28"/>
          <w:lang w:val="es-CO"/>
        </w:rPr>
        <w:t>Secretaria</w:t>
      </w:r>
    </w:p>
    <w:sectPr w:rsidR="00D826D1" w:rsidRPr="007A0E31" w:rsidSect="007A0E31">
      <w:headerReference w:type="default" r:id="rId10"/>
      <w:footerReference w:type="default" r:id="rId11"/>
      <w:pgSz w:w="12240" w:h="18720" w:code="14"/>
      <w:pgMar w:top="1701" w:right="1701" w:bottom="1701" w:left="1701" w:header="709" w:footer="28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996624" w14:textId="77777777" w:rsidR="00771CDE" w:rsidRDefault="00771CDE" w:rsidP="00BC4BB5">
      <w:r>
        <w:separator/>
      </w:r>
    </w:p>
  </w:endnote>
  <w:endnote w:type="continuationSeparator" w:id="0">
    <w:p w14:paraId="5BCFD290" w14:textId="77777777" w:rsidR="00771CDE" w:rsidRDefault="00771CDE" w:rsidP="00BC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162317"/>
      <w:docPartObj>
        <w:docPartGallery w:val="Page Numbers (Bottom of Page)"/>
        <w:docPartUnique/>
      </w:docPartObj>
    </w:sdtPr>
    <w:sdtEndPr/>
    <w:sdtContent>
      <w:p w14:paraId="1E22CF52" w14:textId="77777777" w:rsidR="00635C93" w:rsidRDefault="00635C93">
        <w:pPr>
          <w:pStyle w:val="Piedepgina"/>
          <w:jc w:val="right"/>
        </w:pPr>
        <w:r>
          <w:fldChar w:fldCharType="begin"/>
        </w:r>
        <w:r>
          <w:instrText>PAGE   \* MERGEFORMAT</w:instrText>
        </w:r>
        <w:r>
          <w:fldChar w:fldCharType="separate"/>
        </w:r>
        <w:r w:rsidR="00F4673B">
          <w:rPr>
            <w:noProof/>
          </w:rPr>
          <w:t>5</w:t>
        </w:r>
        <w:r>
          <w:fldChar w:fldCharType="end"/>
        </w:r>
      </w:p>
    </w:sdtContent>
  </w:sdt>
  <w:p w14:paraId="38785175" w14:textId="77777777" w:rsidR="00635C93" w:rsidRDefault="00635C9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22A8A6" w14:textId="77777777" w:rsidR="00771CDE" w:rsidRDefault="00771CDE" w:rsidP="00BC4BB5">
      <w:r>
        <w:separator/>
      </w:r>
    </w:p>
  </w:footnote>
  <w:footnote w:type="continuationSeparator" w:id="0">
    <w:p w14:paraId="0EA18528" w14:textId="77777777" w:rsidR="00771CDE" w:rsidRDefault="00771CDE" w:rsidP="00BC4BB5">
      <w:r>
        <w:continuationSeparator/>
      </w:r>
    </w:p>
  </w:footnote>
  <w:footnote w:id="1">
    <w:p w14:paraId="035616C2" w14:textId="77777777" w:rsidR="007F5116" w:rsidRDefault="007F5116" w:rsidP="007F5116">
      <w:pPr>
        <w:pStyle w:val="Textonotapie"/>
      </w:pPr>
      <w:r>
        <w:rPr>
          <w:rStyle w:val="Refdenotaalpie"/>
        </w:rPr>
        <w:footnoteRef/>
      </w:r>
      <w:r>
        <w:t xml:space="preserve"> </w:t>
      </w:r>
      <w:r w:rsidRPr="001976B3">
        <w:t xml:space="preserve">Acta </w:t>
      </w:r>
      <w:r>
        <w:t xml:space="preserve">de Sala Plena </w:t>
      </w:r>
      <w:r w:rsidRPr="001976B3">
        <w:t>No. 19 del 1° de abril de 2009</w:t>
      </w:r>
      <w:r>
        <w:t>.</w:t>
      </w:r>
    </w:p>
  </w:footnote>
  <w:footnote w:id="2">
    <w:p w14:paraId="7D29B768" w14:textId="029823D7" w:rsidR="0090065A" w:rsidRPr="0090065A" w:rsidRDefault="0090065A">
      <w:pPr>
        <w:pStyle w:val="Textonotapie"/>
        <w:rPr>
          <w:lang w:val="es-419"/>
        </w:rPr>
      </w:pPr>
      <w:r>
        <w:rPr>
          <w:rStyle w:val="Refdenotaalpie"/>
        </w:rPr>
        <w:footnoteRef/>
      </w:r>
      <w:r>
        <w:t xml:space="preserve"> </w:t>
      </w:r>
      <w:r>
        <w:rPr>
          <w:lang w:val="es-419"/>
        </w:rPr>
        <w:t xml:space="preserve">Petición elevada por las </w:t>
      </w:r>
      <w:r w:rsidR="004E7744">
        <w:rPr>
          <w:lang w:val="es-419"/>
        </w:rPr>
        <w:t>Autoridades</w:t>
      </w:r>
      <w:r>
        <w:rPr>
          <w:lang w:val="es-CO"/>
        </w:rPr>
        <w:t xml:space="preserve"> Tradicionales del Resguardo Indígena de </w:t>
      </w:r>
      <w:proofErr w:type="spellStart"/>
      <w:r>
        <w:rPr>
          <w:lang w:val="es-CO"/>
        </w:rPr>
        <w:t>Jambaló</w:t>
      </w:r>
      <w:proofErr w:type="spellEnd"/>
      <w:r>
        <w:rPr>
          <w:lang w:val="es-CO"/>
        </w:rPr>
        <w:t xml:space="preserve"> (Cauca). Pág. 8. </w:t>
      </w:r>
    </w:p>
  </w:footnote>
  <w:footnote w:id="3">
    <w:p w14:paraId="5BAD6FEA" w14:textId="7895B8BF" w:rsidR="00921310" w:rsidRPr="00921310" w:rsidRDefault="00921310">
      <w:pPr>
        <w:pStyle w:val="Textonotapie"/>
        <w:rPr>
          <w:lang w:val="es-419"/>
        </w:rPr>
      </w:pPr>
      <w:r>
        <w:rPr>
          <w:rStyle w:val="Refdenotaalpie"/>
        </w:rPr>
        <w:footnoteRef/>
      </w:r>
      <w:r>
        <w:t xml:space="preserve"> </w:t>
      </w:r>
      <w:r>
        <w:rPr>
          <w:lang w:val="es-419"/>
        </w:rPr>
        <w:t xml:space="preserve">M.P. Carlos Bernal Pulido. </w:t>
      </w:r>
    </w:p>
  </w:footnote>
  <w:footnote w:id="4">
    <w:p w14:paraId="54A112CD" w14:textId="57298C7C" w:rsidR="00D803F9" w:rsidRPr="00D803F9" w:rsidRDefault="00D803F9">
      <w:pPr>
        <w:pStyle w:val="Textonotapie"/>
      </w:pPr>
      <w:r>
        <w:rPr>
          <w:rStyle w:val="Refdenotaalpie"/>
        </w:rPr>
        <w:footnoteRef/>
      </w:r>
      <w:r>
        <w:t xml:space="preserve"> </w:t>
      </w:r>
      <w:r>
        <w:rPr>
          <w:i/>
        </w:rPr>
        <w:t>“</w:t>
      </w:r>
      <w:r w:rsidRPr="00D803F9">
        <w:rPr>
          <w:i/>
          <w:lang w:val="es-CO"/>
        </w:rPr>
        <w:t>Finalmente, cierto es que esta Corporación ha identificado algunas “situaciones límite” en razón de las cuales, con carácter excepcional, cabe la posibilidad de reasumir la competencia para verificar directamente el cumplimiento de sus propios fallos, así como para tramitar el incidente de desacato a que hubiere lugar.</w:t>
      </w:r>
      <w:r>
        <w:rPr>
          <w:i/>
          <w:lang w:val="es-CO"/>
        </w:rPr>
        <w:t xml:space="preserve"> || </w:t>
      </w:r>
      <w:r w:rsidRPr="00D803F9">
        <w:rPr>
          <w:i/>
          <w:lang w:val="es-CO"/>
        </w:rPr>
        <w:t>Sin embargo, ello no significa que el peticionario, en casos como el presente, esté relevado de cumplir una mínima carga argumentativa en torno a: i) cuáles son, en concreto, las órdenes de la sentencia respectiva que considera incumplidas y respecto de las cuales se pretende el seguimiento de la Corte; ii) por qué estima, en cada caso, que estas no han sido debidamente acatadas; y iii) la acreditación de haber procurado, en la medida de lo fáctica y jurídicamente posible, el cumplimiento del fallo ante el juez de tutela de primera instancia, por medio, entre otras vías, del correspondiente incidente de desacato.</w:t>
      </w:r>
      <w:r>
        <w:rPr>
          <w:i/>
          <w:lang w:val="es-CO"/>
        </w:rPr>
        <w:t xml:space="preserve"> || </w:t>
      </w:r>
      <w:r w:rsidRPr="00D803F9">
        <w:rPr>
          <w:i/>
          <w:lang w:val="es-CO"/>
        </w:rPr>
        <w:t xml:space="preserve">En el caso bajo examen, esa carga argumentativa </w:t>
      </w:r>
      <w:r>
        <w:rPr>
          <w:i/>
          <w:lang w:val="es-CO"/>
        </w:rPr>
        <w:t>básica no se encuentra cumplida”</w:t>
      </w:r>
      <w:r>
        <w:rPr>
          <w:lang w:val="es-CO"/>
        </w:rPr>
        <w:t xml:space="preserve">. Auto 589 de 2018. M.P. Carlos Bernal Pulido. </w:t>
      </w:r>
    </w:p>
  </w:footnote>
  <w:footnote w:id="5">
    <w:p w14:paraId="36911DAD" w14:textId="77777777" w:rsidR="00424D6C" w:rsidRPr="00247122" w:rsidRDefault="00424D6C" w:rsidP="00424D6C">
      <w:pPr>
        <w:pStyle w:val="Textonotapie"/>
        <w:rPr>
          <w:lang w:val="es-CO"/>
        </w:rPr>
      </w:pPr>
      <w:r>
        <w:rPr>
          <w:rStyle w:val="Refdenotaalpie"/>
        </w:rPr>
        <w:footnoteRef/>
      </w:r>
      <w:r>
        <w:t xml:space="preserve"> </w:t>
      </w:r>
      <w:r>
        <w:rPr>
          <w:lang w:val="es-CO"/>
        </w:rPr>
        <w:t>De acuerdo con los parámetros y criterios definidos en el Auto 373 de 2016.</w:t>
      </w:r>
    </w:p>
  </w:footnote>
  <w:footnote w:id="6">
    <w:p w14:paraId="782C4664" w14:textId="77777777" w:rsidR="00424D6C" w:rsidRPr="0090557C" w:rsidRDefault="00424D6C" w:rsidP="00424D6C">
      <w:pPr>
        <w:pStyle w:val="Textonotapie"/>
        <w:rPr>
          <w:lang w:val="es-CO"/>
        </w:rPr>
      </w:pPr>
      <w:r>
        <w:rPr>
          <w:rStyle w:val="Refdenotaalpie"/>
        </w:rPr>
        <w:footnoteRef/>
      </w:r>
      <w:r>
        <w:t xml:space="preserve"> </w:t>
      </w:r>
      <w:r w:rsidRPr="0090557C">
        <w:t xml:space="preserve">El </w:t>
      </w:r>
      <w:r>
        <w:t>Auto</w:t>
      </w:r>
      <w:r w:rsidRPr="0090557C">
        <w:t xml:space="preserve"> 266 de 2017 se comunicó a la Unidad para las Víctimas mediante oficio A2711 del 7 de diciembre de 2017. Igualmente, se notificó al Ministerio del Interior con oficio A2719 del 7 de diciembre de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0ADD4" w14:textId="77777777" w:rsidR="00E84A1E" w:rsidRPr="00D96642" w:rsidRDefault="00E84A1E" w:rsidP="00E84A1E">
    <w:pPr>
      <w:widowControl w:val="0"/>
      <w:autoSpaceDE w:val="0"/>
      <w:autoSpaceDN w:val="0"/>
      <w:adjustRightInd w:val="0"/>
      <w:ind w:left="2800"/>
      <w:jc w:val="right"/>
      <w:rPr>
        <w:rFonts w:cs="Times New Roman"/>
        <w:i/>
        <w:iCs/>
        <w:sz w:val="17"/>
        <w:szCs w:val="17"/>
      </w:rPr>
    </w:pPr>
    <w:r w:rsidRPr="00D96642">
      <w:rPr>
        <w:rFonts w:cs="Times New Roman"/>
        <w:i/>
        <w:iCs/>
        <w:sz w:val="17"/>
        <w:szCs w:val="17"/>
      </w:rPr>
      <w:t xml:space="preserve">Sala Especial de Seguimiento Sentencia T-025 de 2004 </w:t>
    </w:r>
  </w:p>
  <w:p w14:paraId="50297395" w14:textId="77777777" w:rsidR="00E84A1E" w:rsidRDefault="00E84A1E" w:rsidP="00E84A1E">
    <w:pPr>
      <w:widowControl w:val="0"/>
      <w:autoSpaceDE w:val="0"/>
      <w:autoSpaceDN w:val="0"/>
      <w:adjustRightInd w:val="0"/>
      <w:ind w:left="2800"/>
      <w:jc w:val="right"/>
      <w:rPr>
        <w:rFonts w:cs="Times New Roman"/>
        <w:i/>
        <w:iCs/>
        <w:sz w:val="17"/>
        <w:szCs w:val="17"/>
      </w:rPr>
    </w:pPr>
    <w:r w:rsidRPr="00D96642">
      <w:rPr>
        <w:rFonts w:cs="Times New Roman"/>
        <w:i/>
        <w:iCs/>
        <w:sz w:val="17"/>
        <w:szCs w:val="17"/>
      </w:rPr>
      <w:t>M.P. Gloria Stella Ortiz Delgado</w:t>
    </w:r>
  </w:p>
  <w:p w14:paraId="6144059A" w14:textId="77777777" w:rsidR="00BC4BB5" w:rsidRDefault="00BC4BB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603E9"/>
    <w:multiLevelType w:val="hybridMultilevel"/>
    <w:tmpl w:val="56580006"/>
    <w:lvl w:ilvl="0" w:tplc="0C0A0015">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3C34375"/>
    <w:multiLevelType w:val="hybridMultilevel"/>
    <w:tmpl w:val="DF1E215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58659C6"/>
    <w:multiLevelType w:val="hybridMultilevel"/>
    <w:tmpl w:val="20BC3CAE"/>
    <w:lvl w:ilvl="0" w:tplc="54F4AFE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F8C053B"/>
    <w:multiLevelType w:val="multilevel"/>
    <w:tmpl w:val="853822A2"/>
    <w:lvl w:ilvl="0">
      <w:start w:val="1"/>
      <w:numFmt w:val="decimal"/>
      <w:pStyle w:val="Subttulo"/>
      <w:lvlText w:val="%1."/>
      <w:lvlJc w:val="left"/>
      <w:pPr>
        <w:ind w:left="360" w:hanging="360"/>
      </w:pPr>
      <w:rPr>
        <w:rFonts w:hint="default"/>
        <w:spacing w:val="0"/>
        <w:kern w:val="52"/>
        <w:position w:val="0"/>
      </w:rPr>
    </w:lvl>
    <w:lvl w:ilvl="1">
      <w:start w:val="1"/>
      <w:numFmt w:val="decimal"/>
      <w:isLgl/>
      <w:lvlText w:val="%1.%2."/>
      <w:lvlJc w:val="left"/>
      <w:pPr>
        <w:ind w:left="720" w:hanging="720"/>
      </w:pPr>
      <w:rPr>
        <w:rFonts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nsid w:val="26BF3949"/>
    <w:multiLevelType w:val="multilevel"/>
    <w:tmpl w:val="B382245E"/>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B534D19"/>
    <w:multiLevelType w:val="multilevel"/>
    <w:tmpl w:val="1AF69C1C"/>
    <w:lvl w:ilvl="0">
      <w:start w:val="14"/>
      <w:numFmt w:val="decimal"/>
      <w:lvlText w:val="%1."/>
      <w:lvlJc w:val="left"/>
      <w:pPr>
        <w:ind w:left="600" w:hanging="60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3CB1D6F"/>
    <w:multiLevelType w:val="multilevel"/>
    <w:tmpl w:val="5198A0F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46B0E46"/>
    <w:multiLevelType w:val="multilevel"/>
    <w:tmpl w:val="BE60D81A"/>
    <w:lvl w:ilvl="0">
      <w:start w:val="1"/>
      <w:numFmt w:val="decimal"/>
      <w:lvlText w:val="%1"/>
      <w:lvlJc w:val="left"/>
      <w:pPr>
        <w:ind w:left="432" w:hanging="432"/>
      </w:pPr>
      <w:rPr>
        <w:rFonts w:hint="default"/>
        <w:spacing w:val="10"/>
      </w:rPr>
    </w:lvl>
    <w:lvl w:ilvl="1">
      <w:start w:val="1"/>
      <w:numFmt w:val="decimal"/>
      <w:lvlText w:val="%1.%2"/>
      <w:lvlJc w:val="left"/>
      <w:pPr>
        <w:ind w:left="576" w:hanging="576"/>
      </w:pPr>
      <w:rPr>
        <w:smallCaps w:val="0"/>
        <w:color w:val="auto"/>
        <w:sz w:val="28"/>
      </w:rPr>
    </w:lvl>
    <w:lvl w:ilvl="2">
      <w:start w:val="1"/>
      <w:numFmt w:val="decimal"/>
      <w:lvlText w:val="%1.%2.%3"/>
      <w:lvlJc w:val="left"/>
      <w:pPr>
        <w:ind w:left="720" w:hanging="72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549F0F04"/>
    <w:multiLevelType w:val="hybridMultilevel"/>
    <w:tmpl w:val="AA2C0F54"/>
    <w:lvl w:ilvl="0" w:tplc="9C166D3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BF34307"/>
    <w:multiLevelType w:val="hybridMultilevel"/>
    <w:tmpl w:val="1D60681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24A053B"/>
    <w:multiLevelType w:val="multilevel"/>
    <w:tmpl w:val="58BE0E02"/>
    <w:lvl w:ilvl="0">
      <w:start w:val="1"/>
      <w:numFmt w:val="decimal"/>
      <w:lvlText w:val="%1."/>
      <w:lvlJc w:val="left"/>
      <w:pPr>
        <w:ind w:left="0" w:firstLine="0"/>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nsid w:val="63755702"/>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7184EEB"/>
    <w:multiLevelType w:val="multilevel"/>
    <w:tmpl w:val="F2CAF5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6FD81198"/>
    <w:multiLevelType w:val="hybridMultilevel"/>
    <w:tmpl w:val="B714F136"/>
    <w:lvl w:ilvl="0" w:tplc="F7368DA6">
      <w:start w:val="13"/>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0D6112C"/>
    <w:multiLevelType w:val="hybridMultilevel"/>
    <w:tmpl w:val="1CDEF350"/>
    <w:lvl w:ilvl="0" w:tplc="87E007E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B775368"/>
    <w:multiLevelType w:val="multilevel"/>
    <w:tmpl w:val="EC80ABB0"/>
    <w:lvl w:ilvl="0">
      <w:start w:val="1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3"/>
  </w:num>
  <w:num w:numId="2">
    <w:abstractNumId w:val="12"/>
  </w:num>
  <w:num w:numId="3">
    <w:abstractNumId w:val="3"/>
  </w:num>
  <w:num w:numId="4">
    <w:abstractNumId w:val="11"/>
  </w:num>
  <w:num w:numId="5">
    <w:abstractNumId w:val="8"/>
  </w:num>
  <w:num w:numId="6">
    <w:abstractNumId w:val="7"/>
  </w:num>
  <w:num w:numId="7">
    <w:abstractNumId w:val="14"/>
  </w:num>
  <w:num w:numId="8">
    <w:abstractNumId w:val="0"/>
  </w:num>
  <w:num w:numId="9">
    <w:abstractNumId w:val="9"/>
  </w:num>
  <w:num w:numId="10">
    <w:abstractNumId w:val="4"/>
  </w:num>
  <w:num w:numId="11">
    <w:abstractNumId w:val="1"/>
  </w:num>
  <w:num w:numId="12">
    <w:abstractNumId w:val="10"/>
  </w:num>
  <w:num w:numId="13">
    <w:abstractNumId w:val="15"/>
  </w:num>
  <w:num w:numId="14">
    <w:abstractNumId w:val="5"/>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FAE"/>
    <w:rsid w:val="0000679D"/>
    <w:rsid w:val="00030AAC"/>
    <w:rsid w:val="000341EF"/>
    <w:rsid w:val="00040FF9"/>
    <w:rsid w:val="0005219E"/>
    <w:rsid w:val="00053A66"/>
    <w:rsid w:val="00057849"/>
    <w:rsid w:val="00060A5C"/>
    <w:rsid w:val="00071723"/>
    <w:rsid w:val="0007207C"/>
    <w:rsid w:val="0007347A"/>
    <w:rsid w:val="00094545"/>
    <w:rsid w:val="000A777C"/>
    <w:rsid w:val="000C763A"/>
    <w:rsid w:val="000E6B01"/>
    <w:rsid w:val="000F33E2"/>
    <w:rsid w:val="00100AF5"/>
    <w:rsid w:val="00103E4A"/>
    <w:rsid w:val="00104B94"/>
    <w:rsid w:val="001055E8"/>
    <w:rsid w:val="00113361"/>
    <w:rsid w:val="001150FF"/>
    <w:rsid w:val="00120A49"/>
    <w:rsid w:val="001232CF"/>
    <w:rsid w:val="00150E9B"/>
    <w:rsid w:val="001537E8"/>
    <w:rsid w:val="00160325"/>
    <w:rsid w:val="00161507"/>
    <w:rsid w:val="00164246"/>
    <w:rsid w:val="00167582"/>
    <w:rsid w:val="00173D1C"/>
    <w:rsid w:val="001779B5"/>
    <w:rsid w:val="00183300"/>
    <w:rsid w:val="0018649F"/>
    <w:rsid w:val="00191E03"/>
    <w:rsid w:val="001A32AB"/>
    <w:rsid w:val="001B4C81"/>
    <w:rsid w:val="001D5B80"/>
    <w:rsid w:val="001F312C"/>
    <w:rsid w:val="00211DC5"/>
    <w:rsid w:val="002173F9"/>
    <w:rsid w:val="00225994"/>
    <w:rsid w:val="002347AA"/>
    <w:rsid w:val="002462B6"/>
    <w:rsid w:val="00247122"/>
    <w:rsid w:val="00257BD2"/>
    <w:rsid w:val="00257DD8"/>
    <w:rsid w:val="00257FA2"/>
    <w:rsid w:val="00265BD4"/>
    <w:rsid w:val="002824F7"/>
    <w:rsid w:val="002836AC"/>
    <w:rsid w:val="002A2C90"/>
    <w:rsid w:val="002B37BF"/>
    <w:rsid w:val="002B5DA0"/>
    <w:rsid w:val="002C6AD7"/>
    <w:rsid w:val="002C6AE0"/>
    <w:rsid w:val="002D181D"/>
    <w:rsid w:val="002D26AA"/>
    <w:rsid w:val="003114E2"/>
    <w:rsid w:val="00320902"/>
    <w:rsid w:val="003444C7"/>
    <w:rsid w:val="00350034"/>
    <w:rsid w:val="00361864"/>
    <w:rsid w:val="00361FFE"/>
    <w:rsid w:val="00366DAC"/>
    <w:rsid w:val="00370BCB"/>
    <w:rsid w:val="00384BF5"/>
    <w:rsid w:val="0039142D"/>
    <w:rsid w:val="00393CBC"/>
    <w:rsid w:val="003A674A"/>
    <w:rsid w:val="003B0386"/>
    <w:rsid w:val="003C4D9C"/>
    <w:rsid w:val="003D2F56"/>
    <w:rsid w:val="003D2FF6"/>
    <w:rsid w:val="003D4F63"/>
    <w:rsid w:val="003F18BB"/>
    <w:rsid w:val="003F248A"/>
    <w:rsid w:val="003F734E"/>
    <w:rsid w:val="00400C77"/>
    <w:rsid w:val="00401E25"/>
    <w:rsid w:val="0040679A"/>
    <w:rsid w:val="00407E5A"/>
    <w:rsid w:val="00417304"/>
    <w:rsid w:val="00420638"/>
    <w:rsid w:val="00424D6C"/>
    <w:rsid w:val="00461E3E"/>
    <w:rsid w:val="00465A54"/>
    <w:rsid w:val="00473BC6"/>
    <w:rsid w:val="00483DB9"/>
    <w:rsid w:val="00490228"/>
    <w:rsid w:val="004A0DAF"/>
    <w:rsid w:val="004A1333"/>
    <w:rsid w:val="004C0428"/>
    <w:rsid w:val="004C2B62"/>
    <w:rsid w:val="004C4219"/>
    <w:rsid w:val="004D0AB2"/>
    <w:rsid w:val="004E0839"/>
    <w:rsid w:val="004E6F39"/>
    <w:rsid w:val="004E7744"/>
    <w:rsid w:val="00543A31"/>
    <w:rsid w:val="00554C34"/>
    <w:rsid w:val="005560D1"/>
    <w:rsid w:val="00573758"/>
    <w:rsid w:val="00574E76"/>
    <w:rsid w:val="00592E50"/>
    <w:rsid w:val="005B5FCC"/>
    <w:rsid w:val="005C4AEC"/>
    <w:rsid w:val="005C68D5"/>
    <w:rsid w:val="005F7BA8"/>
    <w:rsid w:val="005F7BEC"/>
    <w:rsid w:val="00603813"/>
    <w:rsid w:val="00635C93"/>
    <w:rsid w:val="00636F99"/>
    <w:rsid w:val="00637F74"/>
    <w:rsid w:val="00641FEC"/>
    <w:rsid w:val="006475B0"/>
    <w:rsid w:val="00650E64"/>
    <w:rsid w:val="00657528"/>
    <w:rsid w:val="00696ECC"/>
    <w:rsid w:val="006974A4"/>
    <w:rsid w:val="006F260B"/>
    <w:rsid w:val="007114B6"/>
    <w:rsid w:val="00730331"/>
    <w:rsid w:val="00735671"/>
    <w:rsid w:val="007367CF"/>
    <w:rsid w:val="0074594F"/>
    <w:rsid w:val="00766EB0"/>
    <w:rsid w:val="00771CDE"/>
    <w:rsid w:val="007735EF"/>
    <w:rsid w:val="007852EF"/>
    <w:rsid w:val="00785D2A"/>
    <w:rsid w:val="007A0E31"/>
    <w:rsid w:val="007A2ADF"/>
    <w:rsid w:val="007D7179"/>
    <w:rsid w:val="007E147C"/>
    <w:rsid w:val="007F1CFC"/>
    <w:rsid w:val="007F31F9"/>
    <w:rsid w:val="007F5116"/>
    <w:rsid w:val="007F51F9"/>
    <w:rsid w:val="007F700E"/>
    <w:rsid w:val="008052F5"/>
    <w:rsid w:val="00806DD9"/>
    <w:rsid w:val="00807576"/>
    <w:rsid w:val="008141A1"/>
    <w:rsid w:val="008167E3"/>
    <w:rsid w:val="00817658"/>
    <w:rsid w:val="0082249B"/>
    <w:rsid w:val="0082662E"/>
    <w:rsid w:val="0083525F"/>
    <w:rsid w:val="00861F9D"/>
    <w:rsid w:val="00863903"/>
    <w:rsid w:val="00864E57"/>
    <w:rsid w:val="00865989"/>
    <w:rsid w:val="00880F07"/>
    <w:rsid w:val="0088471B"/>
    <w:rsid w:val="00887768"/>
    <w:rsid w:val="008A6958"/>
    <w:rsid w:val="008B6D86"/>
    <w:rsid w:val="008C3FAE"/>
    <w:rsid w:val="008D156F"/>
    <w:rsid w:val="008D3D7F"/>
    <w:rsid w:val="008D566D"/>
    <w:rsid w:val="008E569E"/>
    <w:rsid w:val="0090065A"/>
    <w:rsid w:val="00901BEC"/>
    <w:rsid w:val="0090557C"/>
    <w:rsid w:val="00907E74"/>
    <w:rsid w:val="00921310"/>
    <w:rsid w:val="00935738"/>
    <w:rsid w:val="00937A41"/>
    <w:rsid w:val="00952094"/>
    <w:rsid w:val="0095374E"/>
    <w:rsid w:val="00955F19"/>
    <w:rsid w:val="00961AB3"/>
    <w:rsid w:val="009735BC"/>
    <w:rsid w:val="00977368"/>
    <w:rsid w:val="00984138"/>
    <w:rsid w:val="009A173A"/>
    <w:rsid w:val="009B1A3F"/>
    <w:rsid w:val="009B3AD9"/>
    <w:rsid w:val="009C7C2A"/>
    <w:rsid w:val="009F17C0"/>
    <w:rsid w:val="00A124E1"/>
    <w:rsid w:val="00A32BD5"/>
    <w:rsid w:val="00A33C24"/>
    <w:rsid w:val="00A40919"/>
    <w:rsid w:val="00A507B4"/>
    <w:rsid w:val="00A52972"/>
    <w:rsid w:val="00A543BC"/>
    <w:rsid w:val="00A55CA5"/>
    <w:rsid w:val="00A55D49"/>
    <w:rsid w:val="00A7415E"/>
    <w:rsid w:val="00A963E4"/>
    <w:rsid w:val="00AA01F2"/>
    <w:rsid w:val="00AA16E9"/>
    <w:rsid w:val="00AA4A40"/>
    <w:rsid w:val="00AA7311"/>
    <w:rsid w:val="00AC2C8F"/>
    <w:rsid w:val="00AC77A0"/>
    <w:rsid w:val="00AF0BE5"/>
    <w:rsid w:val="00AF113B"/>
    <w:rsid w:val="00B0361B"/>
    <w:rsid w:val="00B428D4"/>
    <w:rsid w:val="00B45A8E"/>
    <w:rsid w:val="00B4626B"/>
    <w:rsid w:val="00B46CF9"/>
    <w:rsid w:val="00B51B3B"/>
    <w:rsid w:val="00B5235A"/>
    <w:rsid w:val="00B55A73"/>
    <w:rsid w:val="00B55D4C"/>
    <w:rsid w:val="00B67C28"/>
    <w:rsid w:val="00B77F90"/>
    <w:rsid w:val="00B94FC9"/>
    <w:rsid w:val="00B97F34"/>
    <w:rsid w:val="00BC4BB5"/>
    <w:rsid w:val="00BD286E"/>
    <w:rsid w:val="00C00673"/>
    <w:rsid w:val="00C0323A"/>
    <w:rsid w:val="00C07746"/>
    <w:rsid w:val="00C07A4F"/>
    <w:rsid w:val="00C10941"/>
    <w:rsid w:val="00C24261"/>
    <w:rsid w:val="00C3189B"/>
    <w:rsid w:val="00C362F9"/>
    <w:rsid w:val="00C612DF"/>
    <w:rsid w:val="00C61C49"/>
    <w:rsid w:val="00C6349C"/>
    <w:rsid w:val="00C66FC1"/>
    <w:rsid w:val="00C727E6"/>
    <w:rsid w:val="00C834A9"/>
    <w:rsid w:val="00CA0C37"/>
    <w:rsid w:val="00CA1377"/>
    <w:rsid w:val="00CA36D7"/>
    <w:rsid w:val="00CB07CD"/>
    <w:rsid w:val="00CB3BEA"/>
    <w:rsid w:val="00CB7FB0"/>
    <w:rsid w:val="00CC1085"/>
    <w:rsid w:val="00CC161F"/>
    <w:rsid w:val="00CC4615"/>
    <w:rsid w:val="00CD1338"/>
    <w:rsid w:val="00CD1718"/>
    <w:rsid w:val="00CD57AC"/>
    <w:rsid w:val="00CE0976"/>
    <w:rsid w:val="00CF5713"/>
    <w:rsid w:val="00D04B75"/>
    <w:rsid w:val="00D14E17"/>
    <w:rsid w:val="00D177CD"/>
    <w:rsid w:val="00D322CC"/>
    <w:rsid w:val="00D56388"/>
    <w:rsid w:val="00D803F9"/>
    <w:rsid w:val="00D826D1"/>
    <w:rsid w:val="00D914D2"/>
    <w:rsid w:val="00DA03B0"/>
    <w:rsid w:val="00DA2328"/>
    <w:rsid w:val="00DA6727"/>
    <w:rsid w:val="00DC4C9E"/>
    <w:rsid w:val="00DD5EDA"/>
    <w:rsid w:val="00DE10DC"/>
    <w:rsid w:val="00DE4B7D"/>
    <w:rsid w:val="00DF690F"/>
    <w:rsid w:val="00E04805"/>
    <w:rsid w:val="00E26857"/>
    <w:rsid w:val="00E3332F"/>
    <w:rsid w:val="00E3371A"/>
    <w:rsid w:val="00E4113D"/>
    <w:rsid w:val="00E84A1E"/>
    <w:rsid w:val="00E924D8"/>
    <w:rsid w:val="00E9424C"/>
    <w:rsid w:val="00E95B13"/>
    <w:rsid w:val="00EA323E"/>
    <w:rsid w:val="00EB0B43"/>
    <w:rsid w:val="00EC1D56"/>
    <w:rsid w:val="00EC5DDC"/>
    <w:rsid w:val="00ED68B3"/>
    <w:rsid w:val="00ED6EE9"/>
    <w:rsid w:val="00EE21D6"/>
    <w:rsid w:val="00F07C49"/>
    <w:rsid w:val="00F10BC9"/>
    <w:rsid w:val="00F4673B"/>
    <w:rsid w:val="00F70F62"/>
    <w:rsid w:val="00F71BA0"/>
    <w:rsid w:val="00F75D7C"/>
    <w:rsid w:val="00F81526"/>
    <w:rsid w:val="00F82EF4"/>
    <w:rsid w:val="00F907D4"/>
    <w:rsid w:val="00FC4F44"/>
    <w:rsid w:val="00FD368B"/>
    <w:rsid w:val="00FD4B63"/>
    <w:rsid w:val="00FE2994"/>
    <w:rsid w:val="00FE6FAB"/>
    <w:rsid w:val="00FF07A8"/>
    <w:rsid w:val="00FF4642"/>
    <w:rsid w:val="00FF64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1DCE4"/>
  <w15:chartTrackingRefBased/>
  <w15:docId w15:val="{51B54E42-1705-44A9-B0B6-3ABFF9D25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526"/>
    <w:pPr>
      <w:spacing w:after="0" w:line="240" w:lineRule="auto"/>
      <w:jc w:val="both"/>
    </w:pPr>
    <w:rPr>
      <w:rFonts w:ascii="Times New Roman" w:hAnsi="Times New Roman"/>
      <w:sz w:val="28"/>
    </w:rPr>
  </w:style>
  <w:style w:type="paragraph" w:styleId="Ttulo1">
    <w:name w:val="heading 1"/>
    <w:basedOn w:val="Normal"/>
    <w:next w:val="Normal"/>
    <w:link w:val="Ttulo1Car"/>
    <w:qFormat/>
    <w:rsid w:val="003D4F63"/>
    <w:pPr>
      <w:keepNext/>
      <w:jc w:val="center"/>
      <w:outlineLvl w:val="0"/>
    </w:pPr>
    <w:rPr>
      <w:rFonts w:eastAsia="Times New Roman" w:cs="Arial"/>
      <w:b/>
      <w:bCs/>
      <w:caps/>
      <w:noProof/>
      <w:kern w:val="32"/>
      <w:szCs w:val="32"/>
      <w:lang w:val="es-CO" w:eastAsia="es-ES"/>
    </w:rPr>
  </w:style>
  <w:style w:type="paragraph" w:styleId="Ttulo2">
    <w:name w:val="heading 2"/>
    <w:basedOn w:val="Normal"/>
    <w:next w:val="Normal"/>
    <w:link w:val="Ttulo2Car"/>
    <w:qFormat/>
    <w:rsid w:val="003D4F63"/>
    <w:pPr>
      <w:keepNext/>
      <w:outlineLvl w:val="1"/>
    </w:pPr>
    <w:rPr>
      <w:rFonts w:eastAsia="Times New Roman" w:cs="Arial"/>
      <w:b/>
      <w:bCs/>
      <w:i/>
      <w:iCs/>
      <w:szCs w:val="28"/>
      <w:lang w:val="es-CO" w:eastAsia="es-ES"/>
    </w:rPr>
  </w:style>
  <w:style w:type="paragraph" w:styleId="Ttulo3">
    <w:name w:val="heading 3"/>
    <w:basedOn w:val="Normal"/>
    <w:next w:val="Normal"/>
    <w:link w:val="Ttulo3Car"/>
    <w:uiPriority w:val="9"/>
    <w:unhideWhenUsed/>
    <w:qFormat/>
    <w:rsid w:val="00AC2C8F"/>
    <w:pPr>
      <w:keepNext/>
      <w:keepLines/>
      <w:outlineLvl w:val="2"/>
    </w:pPr>
    <w:rPr>
      <w:rFonts w:eastAsiaTheme="majorEastAsia" w:cstheme="majorBidi"/>
      <w:i/>
      <w:color w:val="000000" w:themeColor="text1"/>
      <w:szCs w:val="24"/>
    </w:rPr>
  </w:style>
  <w:style w:type="paragraph" w:styleId="Ttulo4">
    <w:name w:val="heading 4"/>
    <w:basedOn w:val="Normal"/>
    <w:next w:val="Normal"/>
    <w:link w:val="Ttulo4Car"/>
    <w:uiPriority w:val="9"/>
    <w:unhideWhenUsed/>
    <w:qFormat/>
    <w:rsid w:val="00AC2C8F"/>
    <w:pPr>
      <w:keepNext/>
      <w:keepLines/>
      <w:outlineLvl w:val="3"/>
    </w:pPr>
    <w:rPr>
      <w:rFonts w:eastAsiaTheme="majorEastAsia" w:cstheme="majorBidi"/>
      <w:b/>
      <w:i/>
      <w:iCs/>
      <w:color w:val="FFFFFF" w:themeColor="background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D4F63"/>
    <w:rPr>
      <w:rFonts w:ascii="Times New Roman" w:eastAsia="Times New Roman" w:hAnsi="Times New Roman" w:cs="Arial"/>
      <w:b/>
      <w:bCs/>
      <w:caps/>
      <w:noProof/>
      <w:kern w:val="32"/>
      <w:sz w:val="28"/>
      <w:szCs w:val="32"/>
      <w:lang w:val="es-CO" w:eastAsia="es-ES"/>
    </w:rPr>
  </w:style>
  <w:style w:type="character" w:customStyle="1" w:styleId="Ttulo2Car">
    <w:name w:val="Título 2 Car"/>
    <w:basedOn w:val="Fuentedeprrafopredeter"/>
    <w:link w:val="Ttulo2"/>
    <w:rsid w:val="003D4F63"/>
    <w:rPr>
      <w:rFonts w:ascii="Times New Roman" w:eastAsia="Times New Roman" w:hAnsi="Times New Roman" w:cs="Arial"/>
      <w:b/>
      <w:bCs/>
      <w:i/>
      <w:iCs/>
      <w:sz w:val="28"/>
      <w:szCs w:val="28"/>
      <w:lang w:val="es-CO" w:eastAsia="es-ES"/>
    </w:rPr>
  </w:style>
  <w:style w:type="paragraph" w:styleId="Cita">
    <w:name w:val="Quote"/>
    <w:basedOn w:val="Normal"/>
    <w:next w:val="Normal"/>
    <w:link w:val="CitaCar"/>
    <w:uiPriority w:val="29"/>
    <w:qFormat/>
    <w:rsid w:val="00030AAC"/>
    <w:pPr>
      <w:ind w:left="862" w:right="862"/>
    </w:pPr>
    <w:rPr>
      <w:i/>
      <w:iCs/>
      <w:color w:val="000000" w:themeColor="text1"/>
      <w:sz w:val="24"/>
    </w:rPr>
  </w:style>
  <w:style w:type="character" w:customStyle="1" w:styleId="CitaCar">
    <w:name w:val="Cita Car"/>
    <w:basedOn w:val="Fuentedeprrafopredeter"/>
    <w:link w:val="Cita"/>
    <w:uiPriority w:val="29"/>
    <w:rsid w:val="00030AAC"/>
    <w:rPr>
      <w:rFonts w:ascii="Times New Roman" w:hAnsi="Times New Roman"/>
      <w:i/>
      <w:iCs/>
      <w:color w:val="000000" w:themeColor="text1"/>
      <w:sz w:val="24"/>
    </w:r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r,texto de nota al,Footnote Text Cha"/>
    <w:basedOn w:val="Normal"/>
    <w:link w:val="TextonotapieCar1"/>
    <w:uiPriority w:val="99"/>
    <w:qFormat/>
    <w:rsid w:val="00D914D2"/>
    <w:rPr>
      <w:rFonts w:eastAsia="Calibri" w:cs="Times New Roman"/>
      <w:sz w:val="20"/>
      <w:szCs w:val="20"/>
      <w:lang w:eastAsia="es-ES"/>
    </w:rPr>
  </w:style>
  <w:style w:type="character" w:customStyle="1" w:styleId="TextonotapieCar">
    <w:name w:val="Texto nota pie Car"/>
    <w:aliases w:val="Footnote Text Char Char Char Char Char Car1,Footnote Text Char Char Char Char Car1,Footnote reference Car1,FA Fu Car1,texto de nota al pie Car1,ft Car,Footnote Text Char Char Char Car1,FA Fußnotentext Car,FA Fuﬂnotentext Car"/>
    <w:uiPriority w:val="99"/>
    <w:rsid w:val="00AA01F2"/>
    <w:rPr>
      <w:rFonts w:ascii="Times New Roman" w:hAnsi="Times New Roman"/>
      <w:sz w:val="20"/>
      <w:lang w:val="es-CO" w:eastAsia="es-CO"/>
    </w:rPr>
  </w:style>
  <w:style w:type="character" w:customStyle="1" w:styleId="TextonotapieCar1">
    <w:name w:val="Texto nota pie Car1"/>
    <w:aliases w:val="Footnote Text Char Char Char Char Char Car,Footnote Text Char Char Char Char Car,Footnote reference Car,FA Fu Car,Footnote Text Char Char Char Car,texto de nota al pie Car,Footnote Text Char Char Char Char Char Char Char Char Car"/>
    <w:link w:val="Textonotapie"/>
    <w:uiPriority w:val="99"/>
    <w:locked/>
    <w:rsid w:val="00D914D2"/>
    <w:rPr>
      <w:rFonts w:ascii="Times New Roman" w:eastAsia="Calibri" w:hAnsi="Times New Roman" w:cs="Times New Roman"/>
      <w:sz w:val="20"/>
      <w:szCs w:val="20"/>
      <w:lang w:eastAsia="es-ES"/>
    </w:rPr>
  </w:style>
  <w:style w:type="character" w:customStyle="1" w:styleId="Ttulo3Car">
    <w:name w:val="Título 3 Car"/>
    <w:basedOn w:val="Fuentedeprrafopredeter"/>
    <w:link w:val="Ttulo3"/>
    <w:uiPriority w:val="9"/>
    <w:rsid w:val="00AC2C8F"/>
    <w:rPr>
      <w:rFonts w:ascii="Times New Roman" w:eastAsiaTheme="majorEastAsia" w:hAnsi="Times New Roman" w:cstheme="majorBidi"/>
      <w:i/>
      <w:color w:val="000000" w:themeColor="text1"/>
      <w:sz w:val="28"/>
      <w:szCs w:val="24"/>
    </w:rPr>
  </w:style>
  <w:style w:type="character" w:customStyle="1" w:styleId="Ttulo4Car">
    <w:name w:val="Título 4 Car"/>
    <w:basedOn w:val="Fuentedeprrafopredeter"/>
    <w:link w:val="Ttulo4"/>
    <w:uiPriority w:val="9"/>
    <w:rsid w:val="00AC2C8F"/>
    <w:rPr>
      <w:rFonts w:ascii="Times New Roman" w:eastAsiaTheme="majorEastAsia" w:hAnsi="Times New Roman" w:cstheme="majorBidi"/>
      <w:b/>
      <w:i/>
      <w:iCs/>
      <w:color w:val="FFFFFF" w:themeColor="background1"/>
      <w:sz w:val="28"/>
    </w:rPr>
  </w:style>
  <w:style w:type="paragraph" w:styleId="Encabezado">
    <w:name w:val="header"/>
    <w:basedOn w:val="Normal"/>
    <w:link w:val="EncabezadoCar"/>
    <w:uiPriority w:val="99"/>
    <w:unhideWhenUsed/>
    <w:rsid w:val="00BC4BB5"/>
    <w:pPr>
      <w:tabs>
        <w:tab w:val="center" w:pos="4252"/>
        <w:tab w:val="right" w:pos="8504"/>
      </w:tabs>
    </w:pPr>
  </w:style>
  <w:style w:type="character" w:customStyle="1" w:styleId="EncabezadoCar">
    <w:name w:val="Encabezado Car"/>
    <w:basedOn w:val="Fuentedeprrafopredeter"/>
    <w:link w:val="Encabezado"/>
    <w:uiPriority w:val="99"/>
    <w:rsid w:val="00BC4BB5"/>
    <w:rPr>
      <w:rFonts w:ascii="Times New Roman" w:hAnsi="Times New Roman"/>
      <w:sz w:val="28"/>
    </w:rPr>
  </w:style>
  <w:style w:type="paragraph" w:styleId="Piedepgina">
    <w:name w:val="footer"/>
    <w:basedOn w:val="Normal"/>
    <w:link w:val="PiedepginaCar"/>
    <w:uiPriority w:val="99"/>
    <w:unhideWhenUsed/>
    <w:rsid w:val="00BC4BB5"/>
    <w:pPr>
      <w:tabs>
        <w:tab w:val="center" w:pos="4252"/>
        <w:tab w:val="right" w:pos="8504"/>
      </w:tabs>
    </w:pPr>
  </w:style>
  <w:style w:type="character" w:customStyle="1" w:styleId="PiedepginaCar">
    <w:name w:val="Pie de página Car"/>
    <w:basedOn w:val="Fuentedeprrafopredeter"/>
    <w:link w:val="Piedepgina"/>
    <w:uiPriority w:val="99"/>
    <w:rsid w:val="00BC4BB5"/>
    <w:rPr>
      <w:rFonts w:ascii="Times New Roman" w:hAnsi="Times New Roman"/>
      <w:sz w:val="28"/>
    </w:rPr>
  </w:style>
  <w:style w:type="character" w:styleId="Refdenotaalpie">
    <w:name w:val="footnote reference"/>
    <w:aliases w:val="Texto de nota al pie,referencia nota al pie,BVI fnr,Ref. de nota al pie2,Nota de pie,Ref,de nota al pie,Footnote symbol,Footnote,Pie de pagina,Appel note de bas de page,Footnotes refss,Footnote Text Char1 Car Car Car Car,Footnot,f,F"/>
    <w:uiPriority w:val="99"/>
    <w:qFormat/>
    <w:rsid w:val="003D4F63"/>
    <w:rPr>
      <w:rFonts w:cs="Times New Roman"/>
      <w:vertAlign w:val="superscript"/>
    </w:rPr>
  </w:style>
  <w:style w:type="paragraph" w:styleId="Prrafodelista">
    <w:name w:val="List Paragraph"/>
    <w:basedOn w:val="Normal"/>
    <w:link w:val="PrrafodelistaCar"/>
    <w:uiPriority w:val="34"/>
    <w:qFormat/>
    <w:rsid w:val="00E26857"/>
    <w:pPr>
      <w:ind w:left="720"/>
      <w:contextualSpacing/>
    </w:pPr>
  </w:style>
  <w:style w:type="paragraph" w:styleId="Subttulo">
    <w:name w:val="Subtitle"/>
    <w:basedOn w:val="Normal"/>
    <w:next w:val="Normal"/>
    <w:link w:val="SubttuloCar"/>
    <w:uiPriority w:val="99"/>
    <w:qFormat/>
    <w:rsid w:val="00735671"/>
    <w:pPr>
      <w:numPr>
        <w:numId w:val="3"/>
      </w:numPr>
      <w:spacing w:line="276" w:lineRule="auto"/>
    </w:pPr>
    <w:rPr>
      <w:rFonts w:eastAsia="Calibri" w:cs="Times New Roman"/>
      <w:b/>
      <w:i/>
      <w:iCs/>
      <w:szCs w:val="24"/>
      <w:lang w:val="es-CO"/>
    </w:rPr>
  </w:style>
  <w:style w:type="character" w:customStyle="1" w:styleId="SubttuloCar">
    <w:name w:val="Subtítulo Car"/>
    <w:basedOn w:val="Fuentedeprrafopredeter"/>
    <w:link w:val="Subttulo"/>
    <w:uiPriority w:val="99"/>
    <w:rsid w:val="00735671"/>
    <w:rPr>
      <w:rFonts w:ascii="Times New Roman" w:eastAsia="Calibri" w:hAnsi="Times New Roman" w:cs="Times New Roman"/>
      <w:b/>
      <w:i/>
      <w:iCs/>
      <w:sz w:val="28"/>
      <w:szCs w:val="24"/>
      <w:lang w:val="es-CO"/>
    </w:rPr>
  </w:style>
  <w:style w:type="character" w:customStyle="1" w:styleId="PrrafodelistaCar">
    <w:name w:val="Párrafo de lista Car"/>
    <w:link w:val="Prrafodelista"/>
    <w:uiPriority w:val="34"/>
    <w:locked/>
    <w:rsid w:val="008D566D"/>
    <w:rPr>
      <w:rFonts w:ascii="Times New Roman" w:hAnsi="Times New Roman"/>
      <w:sz w:val="28"/>
    </w:rPr>
  </w:style>
  <w:style w:type="paragraph" w:styleId="Sinespaciado">
    <w:name w:val="No Spacing"/>
    <w:uiPriority w:val="1"/>
    <w:qFormat/>
    <w:rsid w:val="00887768"/>
    <w:pPr>
      <w:spacing w:after="0" w:line="240" w:lineRule="auto"/>
    </w:pPr>
    <w:rPr>
      <w:rFonts w:ascii="Times New Roman" w:eastAsia="Times New Roman" w:hAnsi="Times New Roman" w:cs="Times New Roman"/>
      <w:sz w:val="28"/>
      <w:szCs w:val="20"/>
      <w:lang w:val="es-CO" w:eastAsia="es-ES"/>
    </w:rPr>
  </w:style>
  <w:style w:type="character" w:styleId="Hipervnculo">
    <w:name w:val="Hyperlink"/>
    <w:basedOn w:val="Fuentedeprrafopredeter"/>
    <w:uiPriority w:val="99"/>
    <w:unhideWhenUsed/>
    <w:rsid w:val="00030AAC"/>
    <w:rPr>
      <w:color w:val="0563C1" w:themeColor="hyperlink"/>
      <w:u w:val="single"/>
    </w:rPr>
  </w:style>
  <w:style w:type="paragraph" w:styleId="Textodeglobo">
    <w:name w:val="Balloon Text"/>
    <w:basedOn w:val="Normal"/>
    <w:link w:val="TextodegloboCar"/>
    <w:uiPriority w:val="99"/>
    <w:semiHidden/>
    <w:unhideWhenUsed/>
    <w:rsid w:val="00040FF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0FF9"/>
    <w:rPr>
      <w:rFonts w:ascii="Segoe UI" w:hAnsi="Segoe UI" w:cs="Segoe UI"/>
      <w:sz w:val="18"/>
      <w:szCs w:val="18"/>
    </w:rPr>
  </w:style>
  <w:style w:type="character" w:styleId="Refdecomentario">
    <w:name w:val="annotation reference"/>
    <w:basedOn w:val="Fuentedeprrafopredeter"/>
    <w:uiPriority w:val="99"/>
    <w:semiHidden/>
    <w:unhideWhenUsed/>
    <w:rsid w:val="00DD5EDA"/>
    <w:rPr>
      <w:sz w:val="16"/>
      <w:szCs w:val="16"/>
    </w:rPr>
  </w:style>
  <w:style w:type="paragraph" w:styleId="Textocomentario">
    <w:name w:val="annotation text"/>
    <w:basedOn w:val="Normal"/>
    <w:link w:val="TextocomentarioCar"/>
    <w:uiPriority w:val="99"/>
    <w:semiHidden/>
    <w:unhideWhenUsed/>
    <w:rsid w:val="00DD5EDA"/>
    <w:rPr>
      <w:sz w:val="20"/>
      <w:szCs w:val="20"/>
    </w:rPr>
  </w:style>
  <w:style w:type="character" w:customStyle="1" w:styleId="TextocomentarioCar">
    <w:name w:val="Texto comentario Car"/>
    <w:basedOn w:val="Fuentedeprrafopredeter"/>
    <w:link w:val="Textocomentario"/>
    <w:uiPriority w:val="99"/>
    <w:semiHidden/>
    <w:rsid w:val="00DD5EDA"/>
    <w:rPr>
      <w:rFonts w:ascii="Times New Roman" w:hAnsi="Times New Roman"/>
      <w:sz w:val="20"/>
      <w:szCs w:val="20"/>
    </w:rPr>
  </w:style>
  <w:style w:type="paragraph" w:styleId="Asuntodelcomentario">
    <w:name w:val="annotation subject"/>
    <w:basedOn w:val="Textocomentario"/>
    <w:next w:val="Textocomentario"/>
    <w:link w:val="AsuntodelcomentarioCar"/>
    <w:uiPriority w:val="99"/>
    <w:semiHidden/>
    <w:unhideWhenUsed/>
    <w:rsid w:val="00DD5EDA"/>
    <w:rPr>
      <w:b/>
      <w:bCs/>
    </w:rPr>
  </w:style>
  <w:style w:type="character" w:customStyle="1" w:styleId="AsuntodelcomentarioCar">
    <w:name w:val="Asunto del comentario Car"/>
    <w:basedOn w:val="TextocomentarioCar"/>
    <w:link w:val="Asuntodelcomentario"/>
    <w:uiPriority w:val="99"/>
    <w:semiHidden/>
    <w:rsid w:val="00DD5EDA"/>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266882">
      <w:bodyDiv w:val="1"/>
      <w:marLeft w:val="0"/>
      <w:marRight w:val="0"/>
      <w:marTop w:val="0"/>
      <w:marBottom w:val="0"/>
      <w:divBdr>
        <w:top w:val="none" w:sz="0" w:space="0" w:color="auto"/>
        <w:left w:val="none" w:sz="0" w:space="0" w:color="auto"/>
        <w:bottom w:val="none" w:sz="0" w:space="0" w:color="auto"/>
        <w:right w:val="none" w:sz="0" w:space="0" w:color="auto"/>
      </w:divBdr>
    </w:div>
    <w:div w:id="1169754267">
      <w:bodyDiv w:val="1"/>
      <w:marLeft w:val="0"/>
      <w:marRight w:val="0"/>
      <w:marTop w:val="0"/>
      <w:marBottom w:val="0"/>
      <w:divBdr>
        <w:top w:val="none" w:sz="0" w:space="0" w:color="auto"/>
        <w:left w:val="none" w:sz="0" w:space="0" w:color="auto"/>
        <w:bottom w:val="none" w:sz="0" w:space="0" w:color="auto"/>
        <w:right w:val="none" w:sz="0" w:space="0" w:color="auto"/>
      </w:divBdr>
    </w:div>
    <w:div w:id="1195776498">
      <w:bodyDiv w:val="1"/>
      <w:marLeft w:val="0"/>
      <w:marRight w:val="0"/>
      <w:marTop w:val="0"/>
      <w:marBottom w:val="0"/>
      <w:divBdr>
        <w:top w:val="none" w:sz="0" w:space="0" w:color="auto"/>
        <w:left w:val="none" w:sz="0" w:space="0" w:color="auto"/>
        <w:bottom w:val="none" w:sz="0" w:space="0" w:color="auto"/>
        <w:right w:val="none" w:sz="0" w:space="0" w:color="auto"/>
      </w:divBdr>
    </w:div>
    <w:div w:id="1300308900">
      <w:bodyDiv w:val="1"/>
      <w:marLeft w:val="0"/>
      <w:marRight w:val="0"/>
      <w:marTop w:val="0"/>
      <w:marBottom w:val="0"/>
      <w:divBdr>
        <w:top w:val="none" w:sz="0" w:space="0" w:color="auto"/>
        <w:left w:val="none" w:sz="0" w:space="0" w:color="auto"/>
        <w:bottom w:val="none" w:sz="0" w:space="0" w:color="auto"/>
        <w:right w:val="none" w:sz="0" w:space="0" w:color="auto"/>
      </w:divBdr>
    </w:div>
    <w:div w:id="1516653562">
      <w:bodyDiv w:val="1"/>
      <w:marLeft w:val="0"/>
      <w:marRight w:val="0"/>
      <w:marTop w:val="0"/>
      <w:marBottom w:val="0"/>
      <w:divBdr>
        <w:top w:val="none" w:sz="0" w:space="0" w:color="auto"/>
        <w:left w:val="none" w:sz="0" w:space="0" w:color="auto"/>
        <w:bottom w:val="none" w:sz="0" w:space="0" w:color="auto"/>
        <w:right w:val="none" w:sz="0" w:space="0" w:color="auto"/>
      </w:divBdr>
    </w:div>
    <w:div w:id="164504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967C9-1710-4957-B869-735A9BCB0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1474</Words>
  <Characters>8107</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Leonardo Bello Perez</dc:creator>
  <cp:keywords/>
  <dc:description/>
  <cp:lastModifiedBy>Adonorem T025</cp:lastModifiedBy>
  <cp:revision>2</cp:revision>
  <cp:lastPrinted>2018-10-30T15:40:00Z</cp:lastPrinted>
  <dcterms:created xsi:type="dcterms:W3CDTF">2018-10-30T15:41:00Z</dcterms:created>
  <dcterms:modified xsi:type="dcterms:W3CDTF">2018-10-30T15:41:00Z</dcterms:modified>
</cp:coreProperties>
</file>